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49" w:rsidRPr="005401CC" w:rsidRDefault="00775749" w:rsidP="00775749">
      <w:pPr>
        <w:rPr>
          <w:sz w:val="36"/>
          <w:szCs w:val="36"/>
        </w:rPr>
      </w:pPr>
      <w:proofErr w:type="gramStart"/>
      <w:r w:rsidRPr="005401CC">
        <w:rPr>
          <w:sz w:val="36"/>
          <w:szCs w:val="36"/>
        </w:rPr>
        <w:t>Whose</w:t>
      </w:r>
      <w:proofErr w:type="gramEnd"/>
      <w:r w:rsidRPr="005401CC">
        <w:rPr>
          <w:sz w:val="36"/>
          <w:szCs w:val="36"/>
        </w:rPr>
        <w:t xml:space="preserve"> Space? Differences </w:t>
      </w:r>
      <w:proofErr w:type="gramStart"/>
      <w:r w:rsidRPr="005401CC">
        <w:rPr>
          <w:sz w:val="36"/>
          <w:szCs w:val="36"/>
        </w:rPr>
        <w:t>Among</w:t>
      </w:r>
      <w:proofErr w:type="gramEnd"/>
      <w:r w:rsidRPr="005401CC">
        <w:rPr>
          <w:sz w:val="36"/>
          <w:szCs w:val="36"/>
        </w:rPr>
        <w:t xml:space="preserve"> Users and Non-Users of Social Network Sites</w:t>
      </w:r>
    </w:p>
    <w:p w:rsidR="00B40BFE" w:rsidRPr="005401CC" w:rsidRDefault="00775749" w:rsidP="00775749">
      <w:proofErr w:type="spellStart"/>
      <w:r w:rsidRPr="005401CC">
        <w:t>Eszter</w:t>
      </w:r>
      <w:proofErr w:type="spellEnd"/>
      <w:r w:rsidRPr="005401CC">
        <w:t xml:space="preserve"> </w:t>
      </w:r>
      <w:proofErr w:type="spellStart"/>
      <w:r w:rsidRPr="005401CC">
        <w:t>Hargittai</w:t>
      </w:r>
      <w:proofErr w:type="spellEnd"/>
    </w:p>
    <w:p w:rsidR="00775749" w:rsidRPr="005401CC" w:rsidRDefault="00775749" w:rsidP="00775749">
      <w:pPr>
        <w:rPr>
          <w:b/>
        </w:rPr>
      </w:pPr>
      <w:r w:rsidRPr="005401CC">
        <w:rPr>
          <w:b/>
        </w:rPr>
        <w:t>Abstract</w:t>
      </w:r>
    </w:p>
    <w:p w:rsidR="00775749" w:rsidRPr="00775749" w:rsidRDefault="00775749" w:rsidP="00775749">
      <w:pPr>
        <w:spacing w:line="360" w:lineRule="atLeast"/>
        <w:rPr>
          <w:rFonts w:ascii="Arial" w:eastAsia="Times New Roman" w:hAnsi="Arial" w:cs="Arial"/>
          <w:lang/>
        </w:rPr>
      </w:pPr>
      <w:r w:rsidRPr="005401CC">
        <w:rPr>
          <w:rFonts w:ascii="Arial" w:eastAsia="Times New Roman" w:hAnsi="Arial" w:cs="Arial"/>
          <w:i/>
          <w:iCs/>
          <w:lang/>
        </w:rPr>
        <w:t xml:space="preserve">Are there systematic differences between people who use social network sites and those who stay away, despite a familiarity with them? Based on data from a survey administered to a diverse group of young adults, this article looks at the predictors of SNS usage, with particular focus on </w:t>
      </w:r>
      <w:proofErr w:type="spellStart"/>
      <w:r w:rsidRPr="005401CC">
        <w:rPr>
          <w:rFonts w:ascii="Arial" w:eastAsia="Times New Roman" w:hAnsi="Arial" w:cs="Arial"/>
          <w:i/>
          <w:iCs/>
          <w:lang/>
        </w:rPr>
        <w:t>Facebook</w:t>
      </w:r>
      <w:proofErr w:type="spellEnd"/>
      <w:r w:rsidRPr="005401CC">
        <w:rPr>
          <w:rFonts w:ascii="Arial" w:eastAsia="Times New Roman" w:hAnsi="Arial" w:cs="Arial"/>
          <w:i/>
          <w:iCs/>
          <w:lang/>
        </w:rPr>
        <w:t xml:space="preserve">, MySpace, </w:t>
      </w:r>
      <w:proofErr w:type="spellStart"/>
      <w:r w:rsidRPr="005401CC">
        <w:rPr>
          <w:rFonts w:ascii="Arial" w:eastAsia="Times New Roman" w:hAnsi="Arial" w:cs="Arial"/>
          <w:i/>
          <w:iCs/>
          <w:lang/>
        </w:rPr>
        <w:t>Xanga</w:t>
      </w:r>
      <w:proofErr w:type="spellEnd"/>
      <w:r w:rsidRPr="005401CC">
        <w:rPr>
          <w:rFonts w:ascii="Arial" w:eastAsia="Times New Roman" w:hAnsi="Arial" w:cs="Arial"/>
          <w:i/>
          <w:iCs/>
          <w:lang/>
        </w:rPr>
        <w:t xml:space="preserve">, and </w:t>
      </w:r>
      <w:proofErr w:type="spellStart"/>
      <w:r w:rsidRPr="005401CC">
        <w:rPr>
          <w:rFonts w:ascii="Arial" w:eastAsia="Times New Roman" w:hAnsi="Arial" w:cs="Arial"/>
          <w:i/>
          <w:iCs/>
          <w:lang/>
        </w:rPr>
        <w:t>Friendster</w:t>
      </w:r>
      <w:proofErr w:type="spellEnd"/>
      <w:r w:rsidRPr="005401CC">
        <w:rPr>
          <w:rFonts w:ascii="Arial" w:eastAsia="Times New Roman" w:hAnsi="Arial" w:cs="Arial"/>
          <w:i/>
          <w:iCs/>
          <w:lang/>
        </w:rPr>
        <w:t>. Findings suggest that use of such sites is not randomly distributed across a group of highly wired users. A person’s gender, race and ethnicity, and parental educational background are all associated with use, but in most cases only when the aggregate concept of social network sites is disaggregated by service. Additionally, people with more experience and autonomy of use are more likely to be users of such sites. Unequal participation based on user background suggests that differential adoption of such services may be contributing to digital inequality.</w:t>
      </w:r>
    </w:p>
    <w:p w:rsidR="00775749" w:rsidRPr="005401CC" w:rsidRDefault="00775749" w:rsidP="00775749"/>
    <w:p w:rsidR="00775749" w:rsidRPr="005401CC" w:rsidRDefault="00775749" w:rsidP="00775749">
      <w:pPr>
        <w:rPr>
          <w:b/>
        </w:rPr>
      </w:pPr>
      <w:r w:rsidRPr="005401CC">
        <w:rPr>
          <w:b/>
        </w:rPr>
        <w:t>Introduction</w:t>
      </w:r>
    </w:p>
    <w:p w:rsidR="00775749" w:rsidRPr="00775749" w:rsidRDefault="00775749" w:rsidP="00775749">
      <w:pPr>
        <w:spacing w:after="240" w:line="360" w:lineRule="atLeast"/>
        <w:rPr>
          <w:rFonts w:ascii="Arial" w:eastAsia="Times New Roman" w:hAnsi="Arial" w:cs="Arial"/>
          <w:lang/>
        </w:rPr>
      </w:pPr>
      <w:r w:rsidRPr="00775749">
        <w:rPr>
          <w:rFonts w:ascii="Arial" w:eastAsia="Times New Roman" w:hAnsi="Arial" w:cs="Arial"/>
          <w:lang/>
        </w:rPr>
        <w:t>Social network sites (SNSs) have become some of the most popular online destinations in recent years (</w:t>
      </w:r>
      <w:hyperlink r:id="rId5" w:anchor="b7" w:tooltip="Link to bibliographic citations" w:history="1">
        <w:proofErr w:type="spellStart"/>
        <w:r w:rsidRPr="00775749">
          <w:rPr>
            <w:rFonts w:ascii="Arial" w:eastAsia="Times New Roman" w:hAnsi="Arial" w:cs="Arial"/>
            <w:lang/>
          </w:rPr>
          <w:t>comScore</w:t>
        </w:r>
        <w:proofErr w:type="spellEnd"/>
        <w:r w:rsidRPr="00775749">
          <w:rPr>
            <w:rFonts w:ascii="Arial" w:eastAsia="Times New Roman" w:hAnsi="Arial" w:cs="Arial"/>
            <w:lang/>
          </w:rPr>
          <w:t>, 2007a, 2007b</w:t>
        </w:r>
      </w:hyperlink>
      <w:r w:rsidRPr="00775749">
        <w:rPr>
          <w:rFonts w:ascii="Arial" w:eastAsia="Times New Roman" w:hAnsi="Arial" w:cs="Arial"/>
          <w:lang/>
        </w:rPr>
        <w:t>). Not surprisingly, this level of user attraction has been accompanied by much coverage in the popular press, including speculations about the potential gains and harms stemming from the use of SNS services (</w:t>
      </w:r>
      <w:hyperlink r:id="rId6" w:anchor="b22" w:tooltip="Link to bibliographic citations" w:history="1">
        <w:proofErr w:type="spellStart"/>
        <w:r w:rsidRPr="00775749">
          <w:rPr>
            <w:rFonts w:ascii="Arial" w:eastAsia="Times New Roman" w:hAnsi="Arial" w:cs="Arial"/>
            <w:lang/>
          </w:rPr>
          <w:t>Hempel</w:t>
        </w:r>
        <w:proofErr w:type="spellEnd"/>
        <w:r w:rsidRPr="00775749">
          <w:rPr>
            <w:rFonts w:ascii="Arial" w:eastAsia="Times New Roman" w:hAnsi="Arial" w:cs="Arial"/>
            <w:lang/>
          </w:rPr>
          <w:t xml:space="preserve">, 2005; </w:t>
        </w:r>
        <w:proofErr w:type="spellStart"/>
        <w:r w:rsidRPr="00775749">
          <w:rPr>
            <w:rFonts w:ascii="Arial" w:eastAsia="Times New Roman" w:hAnsi="Arial" w:cs="Arial"/>
            <w:lang/>
          </w:rPr>
          <w:t>Magid</w:t>
        </w:r>
        <w:proofErr w:type="spellEnd"/>
        <w:r w:rsidRPr="00775749">
          <w:rPr>
            <w:rFonts w:ascii="Arial" w:eastAsia="Times New Roman" w:hAnsi="Arial" w:cs="Arial"/>
            <w:lang/>
          </w:rPr>
          <w:t>, 2006; Stafford, 2006</w:t>
        </w:r>
      </w:hyperlink>
      <w:r w:rsidRPr="00775749">
        <w:rPr>
          <w:rFonts w:ascii="Arial" w:eastAsia="Times New Roman" w:hAnsi="Arial" w:cs="Arial"/>
          <w:lang/>
        </w:rPr>
        <w:t>). Academic researchers have started studying the use of SNSs, with questions ranging from their role in identity construction and expression (</w:t>
      </w:r>
      <w:hyperlink r:id="rId7" w:anchor="b5" w:tooltip="Link to bibliographic citation" w:history="1">
        <w:proofErr w:type="spellStart"/>
        <w:r w:rsidRPr="00775749">
          <w:rPr>
            <w:rFonts w:ascii="Arial" w:eastAsia="Times New Roman" w:hAnsi="Arial" w:cs="Arial"/>
            <w:lang/>
          </w:rPr>
          <w:t>boyd</w:t>
        </w:r>
        <w:proofErr w:type="spellEnd"/>
        <w:r w:rsidRPr="00775749">
          <w:rPr>
            <w:rFonts w:ascii="Arial" w:eastAsia="Times New Roman" w:hAnsi="Arial" w:cs="Arial"/>
            <w:lang/>
          </w:rPr>
          <w:t xml:space="preserve"> &amp; </w:t>
        </w:r>
        <w:proofErr w:type="spellStart"/>
        <w:r w:rsidRPr="00775749">
          <w:rPr>
            <w:rFonts w:ascii="Arial" w:eastAsia="Times New Roman" w:hAnsi="Arial" w:cs="Arial"/>
            <w:lang/>
          </w:rPr>
          <w:t>Heer</w:t>
        </w:r>
        <w:proofErr w:type="spellEnd"/>
        <w:r w:rsidRPr="00775749">
          <w:rPr>
            <w:rFonts w:ascii="Arial" w:eastAsia="Times New Roman" w:hAnsi="Arial" w:cs="Arial"/>
            <w:lang/>
          </w:rPr>
          <w:t>, 2006</w:t>
        </w:r>
      </w:hyperlink>
      <w:r w:rsidRPr="00775749">
        <w:rPr>
          <w:rFonts w:ascii="Arial" w:eastAsia="Times New Roman" w:hAnsi="Arial" w:cs="Arial"/>
          <w:lang/>
        </w:rPr>
        <w:t xml:space="preserve">) to the building and maintenance of social capital (e.g., </w:t>
      </w:r>
      <w:hyperlink r:id="rId8" w:anchor="b12" w:tooltip="Link to bibliographic citation" w:history="1">
        <w:r w:rsidRPr="00775749">
          <w:rPr>
            <w:rFonts w:ascii="Arial" w:eastAsia="Times New Roman" w:hAnsi="Arial" w:cs="Arial"/>
            <w:lang/>
          </w:rPr>
          <w:t xml:space="preserve">Ellison, </w:t>
        </w:r>
        <w:proofErr w:type="spellStart"/>
        <w:r w:rsidRPr="00775749">
          <w:rPr>
            <w:rFonts w:ascii="Arial" w:eastAsia="Times New Roman" w:hAnsi="Arial" w:cs="Arial"/>
            <w:lang/>
          </w:rPr>
          <w:t>Steinfeld</w:t>
        </w:r>
        <w:proofErr w:type="spellEnd"/>
        <w:r w:rsidRPr="00775749">
          <w:rPr>
            <w:rFonts w:ascii="Arial" w:eastAsia="Times New Roman" w:hAnsi="Arial" w:cs="Arial"/>
            <w:lang/>
          </w:rPr>
          <w:t>, &amp; Lampe, 2007</w:t>
        </w:r>
      </w:hyperlink>
      <w:r w:rsidRPr="00775749">
        <w:rPr>
          <w:rFonts w:ascii="Arial" w:eastAsia="Times New Roman" w:hAnsi="Arial" w:cs="Arial"/>
          <w:lang/>
        </w:rPr>
        <w:t xml:space="preserve">) and concerns about privacy (e.g., </w:t>
      </w:r>
      <w:hyperlink r:id="rId9" w:anchor="b15" w:tooltip="Link to bibliographic citations" w:history="1">
        <w:r w:rsidRPr="00775749">
          <w:rPr>
            <w:rFonts w:ascii="Arial" w:eastAsia="Times New Roman" w:hAnsi="Arial" w:cs="Arial"/>
            <w:lang/>
          </w:rPr>
          <w:t xml:space="preserve">Gross &amp; </w:t>
        </w:r>
        <w:proofErr w:type="spellStart"/>
        <w:r w:rsidRPr="00775749">
          <w:rPr>
            <w:rFonts w:ascii="Arial" w:eastAsia="Times New Roman" w:hAnsi="Arial" w:cs="Arial"/>
            <w:lang/>
          </w:rPr>
          <w:t>Acquisti</w:t>
        </w:r>
        <w:proofErr w:type="spellEnd"/>
        <w:r w:rsidRPr="00775749">
          <w:rPr>
            <w:rFonts w:ascii="Arial" w:eastAsia="Times New Roman" w:hAnsi="Arial" w:cs="Arial"/>
            <w:lang/>
          </w:rPr>
          <w:t>, 2005; Hodge, 2006</w:t>
        </w:r>
      </w:hyperlink>
      <w:r w:rsidRPr="00775749">
        <w:rPr>
          <w:rFonts w:ascii="Arial" w:eastAsia="Times New Roman" w:hAnsi="Arial" w:cs="Arial"/>
          <w:lang/>
        </w:rPr>
        <w:t>). While these areas of inquiry are all important and worthy of exploration, a significant antecedent question has been largely ignored: Are there systematic differences between who is and who is not a SNS user, and are people equally likely to join the various types of services that exist? This article sets out to address this question.</w:t>
      </w:r>
    </w:p>
    <w:p w:rsidR="00775749" w:rsidRPr="005401CC" w:rsidRDefault="00775749" w:rsidP="005401CC">
      <w:pPr>
        <w:spacing w:after="240" w:line="360" w:lineRule="atLeast"/>
        <w:rPr>
          <w:rFonts w:ascii="Arial" w:eastAsia="Times New Roman" w:hAnsi="Arial" w:cs="Arial"/>
          <w:lang/>
        </w:rPr>
      </w:pPr>
      <w:r w:rsidRPr="00775749">
        <w:rPr>
          <w:rFonts w:ascii="Arial" w:eastAsia="Times New Roman" w:hAnsi="Arial" w:cs="Arial"/>
          <w:lang/>
        </w:rPr>
        <w:t xml:space="preserve">A significant challenge for studies trying to answer questions about who is and is not using SNSs is that the samples on which they are based (e.g., </w:t>
      </w:r>
      <w:hyperlink r:id="rId10" w:anchor="b12" w:tooltip="Link to bibliographic citation" w:history="1">
        <w:r w:rsidRPr="00775749">
          <w:rPr>
            <w:rFonts w:ascii="Arial" w:eastAsia="Times New Roman" w:hAnsi="Arial" w:cs="Arial"/>
            <w:lang/>
          </w:rPr>
          <w:t>Ellison et al., 2007</w:t>
        </w:r>
      </w:hyperlink>
      <w:r w:rsidRPr="00775749">
        <w:rPr>
          <w:rFonts w:ascii="Arial" w:eastAsia="Times New Roman" w:hAnsi="Arial" w:cs="Arial"/>
          <w:lang/>
        </w:rPr>
        <w:t xml:space="preserve">) typically include such a small number of non-users that there is little variance present to explain differentiated basic adoption of the services. On the rare occasions when data have been available on non-users in addition to users, the focus of the studies has been elsewhere. For example, </w:t>
      </w:r>
      <w:hyperlink r:id="rId11" w:anchor="b39" w:tooltip="Link to bibliographic citation" w:history="1">
        <w:proofErr w:type="spellStart"/>
        <w:r w:rsidRPr="00775749">
          <w:rPr>
            <w:rFonts w:ascii="Arial" w:eastAsia="Times New Roman" w:hAnsi="Arial" w:cs="Arial"/>
            <w:lang/>
          </w:rPr>
          <w:t>Pasek</w:t>
        </w:r>
        <w:proofErr w:type="spellEnd"/>
        <w:r w:rsidRPr="00775749">
          <w:rPr>
            <w:rFonts w:ascii="Arial" w:eastAsia="Times New Roman" w:hAnsi="Arial" w:cs="Arial"/>
            <w:lang/>
          </w:rPr>
          <w:t xml:space="preserve">, More, and </w:t>
        </w:r>
        <w:proofErr w:type="spellStart"/>
        <w:r w:rsidRPr="00775749">
          <w:rPr>
            <w:rFonts w:ascii="Arial" w:eastAsia="Times New Roman" w:hAnsi="Arial" w:cs="Arial"/>
            <w:lang/>
          </w:rPr>
          <w:t>Romer</w:t>
        </w:r>
        <w:proofErr w:type="spellEnd"/>
        <w:r w:rsidRPr="00775749">
          <w:rPr>
            <w:rFonts w:ascii="Arial" w:eastAsia="Times New Roman" w:hAnsi="Arial" w:cs="Arial"/>
            <w:lang/>
          </w:rPr>
          <w:t xml:space="preserve"> (2007)</w:t>
        </w:r>
      </w:hyperlink>
      <w:r w:rsidRPr="00775749">
        <w:rPr>
          <w:rFonts w:ascii="Arial" w:eastAsia="Times New Roman" w:hAnsi="Arial" w:cs="Arial"/>
          <w:lang/>
        </w:rPr>
        <w:t xml:space="preserve"> have disaggregated data by site and variance on the usage of SNSs, but they look at the predictive power of SNS usage on civic engagement, employing SNSs as </w:t>
      </w:r>
      <w:r w:rsidRPr="00775749">
        <w:rPr>
          <w:rFonts w:ascii="Arial" w:eastAsia="Times New Roman" w:hAnsi="Arial" w:cs="Arial"/>
          <w:lang/>
        </w:rPr>
        <w:lastRenderedPageBreak/>
        <w:t>an independent variable, rather than exploring what explains their use in the first place. This article fills a gap in the literature by: (1) explaining differences in SNS adoption and (2) disaggregating SNS usage by specific service to see whether it is possible to predict use of one service over another based on the background characteristics of the user, information about the social context of use, and experiences with the medium.</w:t>
      </w:r>
    </w:p>
    <w:p w:rsidR="00775749" w:rsidRPr="005401CC" w:rsidRDefault="00775749" w:rsidP="00775749">
      <w:pPr>
        <w:rPr>
          <w:b/>
        </w:rPr>
      </w:pPr>
      <w:r w:rsidRPr="005401CC">
        <w:rPr>
          <w:b/>
        </w:rPr>
        <w:t>Differentiating Types of Internet Uses</w:t>
      </w:r>
    </w:p>
    <w:p w:rsidR="00775749" w:rsidRPr="00775749" w:rsidRDefault="00775749" w:rsidP="00775749">
      <w:pPr>
        <w:spacing w:after="240" w:line="360" w:lineRule="atLeast"/>
        <w:rPr>
          <w:rFonts w:ascii="Arial" w:eastAsia="Times New Roman" w:hAnsi="Arial" w:cs="Arial"/>
          <w:lang/>
        </w:rPr>
      </w:pPr>
      <w:r w:rsidRPr="005401CC">
        <w:rPr>
          <w:rFonts w:ascii="Arial" w:eastAsia="Times New Roman" w:hAnsi="Arial" w:cs="Arial"/>
          <w:i/>
          <w:iCs/>
          <w:lang/>
        </w:rPr>
        <w:t>The New Yorker</w:t>
      </w:r>
      <w:r w:rsidRPr="00775749">
        <w:rPr>
          <w:rFonts w:ascii="Arial" w:eastAsia="Times New Roman" w:hAnsi="Arial" w:cs="Arial"/>
          <w:lang/>
        </w:rPr>
        <w:t>’s now-classic cartoon proclaimed in 1993 that “[o]n the Internet, nobody knows you’re a dog” (</w:t>
      </w:r>
      <w:hyperlink r:id="rId12" w:anchor="b43" w:tooltip="Link to bibliographic citation" w:history="1">
        <w:r w:rsidRPr="00775749">
          <w:rPr>
            <w:rFonts w:ascii="Arial" w:eastAsia="Times New Roman" w:hAnsi="Arial" w:cs="Arial"/>
            <w:lang/>
          </w:rPr>
          <w:t>Steiner, 1993</w:t>
        </w:r>
      </w:hyperlink>
      <w:r w:rsidRPr="00775749">
        <w:rPr>
          <w:rFonts w:ascii="Arial" w:eastAsia="Times New Roman" w:hAnsi="Arial" w:cs="Arial"/>
          <w:lang/>
        </w:rPr>
        <w:t>), suggesting that identity was so hidden online that opportunities would be widely open to all, regardless of background characteristics that may have traditionally disadvantaged some people compared to others. The idea that people would be on an equal footing online assumes that offline characteristics are not mirrored in people’s online pursuits. However, subsequent research has found this not to be the case, for example, with respect to gender identity (</w:t>
      </w:r>
      <w:hyperlink r:id="rId13" w:anchor="b23" w:tooltip="Link to bibliographic citation" w:history="1">
        <w:r w:rsidRPr="00775749">
          <w:rPr>
            <w:rFonts w:ascii="Arial" w:eastAsia="Times New Roman" w:hAnsi="Arial" w:cs="Arial"/>
            <w:lang/>
          </w:rPr>
          <w:t>Herring, 1993</w:t>
        </w:r>
      </w:hyperlink>
      <w:r w:rsidRPr="00775749">
        <w:rPr>
          <w:rFonts w:ascii="Arial" w:eastAsia="Times New Roman" w:hAnsi="Arial" w:cs="Arial"/>
          <w:lang/>
        </w:rPr>
        <w:t>). Researchers have observed that despite initial impressions and arguments about how users shed their offline identities in online interactions (</w:t>
      </w:r>
      <w:hyperlink r:id="rId14" w:anchor="b45" w:tooltip="Link to bibliographic citation" w:history="1">
        <w:proofErr w:type="spellStart"/>
        <w:r w:rsidRPr="00775749">
          <w:rPr>
            <w:rFonts w:ascii="Arial" w:eastAsia="Times New Roman" w:hAnsi="Arial" w:cs="Arial"/>
            <w:lang/>
          </w:rPr>
          <w:t>Turkle</w:t>
        </w:r>
        <w:proofErr w:type="spellEnd"/>
        <w:r w:rsidRPr="00775749">
          <w:rPr>
            <w:rFonts w:ascii="Arial" w:eastAsia="Times New Roman" w:hAnsi="Arial" w:cs="Arial"/>
            <w:lang/>
          </w:rPr>
          <w:t>, 1995</w:t>
        </w:r>
      </w:hyperlink>
      <w:r w:rsidRPr="00775749">
        <w:rPr>
          <w:rFonts w:ascii="Arial" w:eastAsia="Times New Roman" w:hAnsi="Arial" w:cs="Arial"/>
          <w:lang/>
        </w:rPr>
        <w:t>), offline identities very much carry over to online behavior (</w:t>
      </w:r>
      <w:hyperlink r:id="rId15" w:anchor="b3" w:tooltip="Link to bibliographic citation" w:history="1">
        <w:proofErr w:type="spellStart"/>
        <w:r w:rsidRPr="00775749">
          <w:rPr>
            <w:rFonts w:ascii="Arial" w:eastAsia="Times New Roman" w:hAnsi="Arial" w:cs="Arial"/>
            <w:lang/>
          </w:rPr>
          <w:t>boyd</w:t>
        </w:r>
        <w:proofErr w:type="spellEnd"/>
        <w:r w:rsidRPr="00775749">
          <w:rPr>
            <w:rFonts w:ascii="Arial" w:eastAsia="Times New Roman" w:hAnsi="Arial" w:cs="Arial"/>
            <w:lang/>
          </w:rPr>
          <w:t>, 2001</w:t>
        </w:r>
      </w:hyperlink>
      <w:r w:rsidRPr="00775749">
        <w:rPr>
          <w:rFonts w:ascii="Arial" w:eastAsia="Times New Roman" w:hAnsi="Arial" w:cs="Arial"/>
          <w:lang/>
        </w:rPr>
        <w:t xml:space="preserve">; </w:t>
      </w:r>
      <w:hyperlink r:id="rId16" w:anchor="b41" w:tooltip="Link to bibliographic citation" w:history="1">
        <w:r w:rsidRPr="00775749">
          <w:rPr>
            <w:rFonts w:ascii="Arial" w:eastAsia="Times New Roman" w:hAnsi="Arial" w:cs="Arial"/>
            <w:lang/>
          </w:rPr>
          <w:t xml:space="preserve">Smith &amp; </w:t>
        </w:r>
        <w:proofErr w:type="spellStart"/>
        <w:r w:rsidRPr="00775749">
          <w:rPr>
            <w:rFonts w:ascii="Arial" w:eastAsia="Times New Roman" w:hAnsi="Arial" w:cs="Arial"/>
            <w:lang/>
          </w:rPr>
          <w:t>Kollock</w:t>
        </w:r>
        <w:proofErr w:type="spellEnd"/>
        <w:r w:rsidRPr="00775749">
          <w:rPr>
            <w:rFonts w:ascii="Arial" w:eastAsia="Times New Roman" w:hAnsi="Arial" w:cs="Arial"/>
            <w:lang/>
          </w:rPr>
          <w:t>, 1999</w:t>
        </w:r>
      </w:hyperlink>
      <w:r w:rsidRPr="00775749">
        <w:rPr>
          <w:rFonts w:ascii="Arial" w:eastAsia="Times New Roman" w:hAnsi="Arial" w:cs="Arial"/>
          <w:lang/>
        </w:rPr>
        <w:t>). This suggests that the Internet is not necessarily leveling the playing field in the way that the above-mentioned cartoon would have us believe, given that people bring constraints and opportunities from their offline lives with them to their online interactions and activities.</w:t>
      </w:r>
    </w:p>
    <w:p w:rsidR="00775749" w:rsidRPr="00775749" w:rsidRDefault="00775749" w:rsidP="00775749">
      <w:pPr>
        <w:spacing w:after="240" w:line="360" w:lineRule="atLeast"/>
        <w:rPr>
          <w:rFonts w:ascii="Arial" w:eastAsia="Times New Roman" w:hAnsi="Arial" w:cs="Arial"/>
          <w:lang/>
        </w:rPr>
      </w:pPr>
      <w:r w:rsidRPr="00775749">
        <w:rPr>
          <w:rFonts w:ascii="Arial" w:eastAsia="Times New Roman" w:hAnsi="Arial" w:cs="Arial"/>
          <w:lang/>
        </w:rPr>
        <w:t>Indeed, studies looking at how different people use the Internet in their everyday lives have found systematic differences across types of users. For example, even after women caught up with men (in the United States) concerning basic connectivity statistics, their uses continued to differ. Men have been shown to spend more time online and claim higher-level skills than women (</w:t>
      </w:r>
      <w:hyperlink r:id="rId17" w:anchor="b2" w:tooltip="Link to bibliographic citations" w:history="1">
        <w:proofErr w:type="spellStart"/>
        <w:r w:rsidRPr="00775749">
          <w:rPr>
            <w:rFonts w:ascii="Arial" w:eastAsia="Times New Roman" w:hAnsi="Arial" w:cs="Arial"/>
            <w:lang/>
          </w:rPr>
          <w:t>Bimber</w:t>
        </w:r>
        <w:proofErr w:type="spellEnd"/>
        <w:r w:rsidRPr="00775749">
          <w:rPr>
            <w:rFonts w:ascii="Arial" w:eastAsia="Times New Roman" w:hAnsi="Arial" w:cs="Arial"/>
            <w:lang/>
          </w:rPr>
          <w:t xml:space="preserve">, 2000; </w:t>
        </w:r>
        <w:proofErr w:type="spellStart"/>
        <w:r w:rsidRPr="00775749">
          <w:rPr>
            <w:rFonts w:ascii="Arial" w:eastAsia="Times New Roman" w:hAnsi="Arial" w:cs="Arial"/>
            <w:lang/>
          </w:rPr>
          <w:t>Hargittai</w:t>
        </w:r>
        <w:proofErr w:type="spellEnd"/>
        <w:r w:rsidRPr="00775749">
          <w:rPr>
            <w:rFonts w:ascii="Arial" w:eastAsia="Times New Roman" w:hAnsi="Arial" w:cs="Arial"/>
            <w:lang/>
          </w:rPr>
          <w:t xml:space="preserve"> &amp; Shafer, 2006; Jackson, Ervin, Gardner, &amp; Schmitt, 2001; Ono &amp; </w:t>
        </w:r>
        <w:proofErr w:type="spellStart"/>
        <w:r w:rsidRPr="00775749">
          <w:rPr>
            <w:rFonts w:ascii="Arial" w:eastAsia="Times New Roman" w:hAnsi="Arial" w:cs="Arial"/>
            <w:lang/>
          </w:rPr>
          <w:t>Zavodny</w:t>
        </w:r>
        <w:proofErr w:type="spellEnd"/>
        <w:r w:rsidRPr="00775749">
          <w:rPr>
            <w:rFonts w:ascii="Arial" w:eastAsia="Times New Roman" w:hAnsi="Arial" w:cs="Arial"/>
            <w:lang/>
          </w:rPr>
          <w:t>, 2003</w:t>
        </w:r>
      </w:hyperlink>
      <w:r w:rsidRPr="00775749">
        <w:rPr>
          <w:rFonts w:ascii="Arial" w:eastAsia="Times New Roman" w:hAnsi="Arial" w:cs="Arial"/>
          <w:lang/>
        </w:rPr>
        <w:t>), consistent with earlier literature on women and technology use more generally (</w:t>
      </w:r>
      <w:hyperlink r:id="rId18" w:anchor="b14" w:tooltip="Link to bibliographic citations" w:history="1">
        <w:proofErr w:type="spellStart"/>
        <w:r w:rsidRPr="00775749">
          <w:rPr>
            <w:rFonts w:ascii="Arial" w:eastAsia="Times New Roman" w:hAnsi="Arial" w:cs="Arial"/>
            <w:lang/>
          </w:rPr>
          <w:t>Frissen</w:t>
        </w:r>
        <w:proofErr w:type="spellEnd"/>
        <w:r w:rsidRPr="00775749">
          <w:rPr>
            <w:rFonts w:ascii="Arial" w:eastAsia="Times New Roman" w:hAnsi="Arial" w:cs="Arial"/>
            <w:lang/>
          </w:rPr>
          <w:t>, 1995; Hall &amp; Cooper, 1991; Herring, 1994; Livingstone, 1992</w:t>
        </w:r>
      </w:hyperlink>
      <w:r w:rsidRPr="00775749">
        <w:rPr>
          <w:rFonts w:ascii="Arial" w:eastAsia="Times New Roman" w:hAnsi="Arial" w:cs="Arial"/>
          <w:lang/>
        </w:rPr>
        <w:t>). Factors such as socioeconomic status have also been shown to predict types of Internet uses (</w:t>
      </w:r>
      <w:hyperlink r:id="rId19" w:anchor="b27" w:tooltip="Link to bibliographic citations" w:history="1">
        <w:r w:rsidRPr="00775749">
          <w:rPr>
            <w:rFonts w:ascii="Arial" w:eastAsia="Times New Roman" w:hAnsi="Arial" w:cs="Arial"/>
            <w:lang/>
          </w:rPr>
          <w:t xml:space="preserve">Howard, </w:t>
        </w:r>
        <w:proofErr w:type="spellStart"/>
        <w:r w:rsidRPr="00775749">
          <w:rPr>
            <w:rFonts w:ascii="Arial" w:eastAsia="Times New Roman" w:hAnsi="Arial" w:cs="Arial"/>
            <w:lang/>
          </w:rPr>
          <w:t>Rainie</w:t>
        </w:r>
        <w:proofErr w:type="spellEnd"/>
        <w:r w:rsidRPr="00775749">
          <w:rPr>
            <w:rFonts w:ascii="Arial" w:eastAsia="Times New Roman" w:hAnsi="Arial" w:cs="Arial"/>
            <w:lang/>
          </w:rPr>
          <w:t xml:space="preserve">, &amp; Jones, 2001; Livingstone &amp; </w:t>
        </w:r>
        <w:proofErr w:type="spellStart"/>
        <w:r w:rsidRPr="00775749">
          <w:rPr>
            <w:rFonts w:ascii="Arial" w:eastAsia="Times New Roman" w:hAnsi="Arial" w:cs="Arial"/>
            <w:lang/>
          </w:rPr>
          <w:t>Helsper</w:t>
        </w:r>
        <w:proofErr w:type="spellEnd"/>
        <w:r w:rsidRPr="00775749">
          <w:rPr>
            <w:rFonts w:ascii="Arial" w:eastAsia="Times New Roman" w:hAnsi="Arial" w:cs="Arial"/>
            <w:lang/>
          </w:rPr>
          <w:t xml:space="preserve">, 2007; Madden &amp; </w:t>
        </w:r>
        <w:proofErr w:type="spellStart"/>
        <w:r w:rsidRPr="00775749">
          <w:rPr>
            <w:rFonts w:ascii="Arial" w:eastAsia="Times New Roman" w:hAnsi="Arial" w:cs="Arial"/>
            <w:lang/>
          </w:rPr>
          <w:t>Rainie</w:t>
        </w:r>
        <w:proofErr w:type="spellEnd"/>
        <w:r w:rsidRPr="00775749">
          <w:rPr>
            <w:rFonts w:ascii="Arial" w:eastAsia="Times New Roman" w:hAnsi="Arial" w:cs="Arial"/>
            <w:lang/>
          </w:rPr>
          <w:t>, 2003</w:t>
        </w:r>
      </w:hyperlink>
      <w:r w:rsidRPr="00775749">
        <w:rPr>
          <w:rFonts w:ascii="Arial" w:eastAsia="Times New Roman" w:hAnsi="Arial" w:cs="Arial"/>
          <w:lang/>
        </w:rPr>
        <w:t>). For example, so-called “capital-enhancing” activities (</w:t>
      </w:r>
      <w:hyperlink r:id="rId20" w:anchor="b9" w:tooltip="Link to bibliographic citation" w:history="1">
        <w:r w:rsidRPr="00775749">
          <w:rPr>
            <w:rFonts w:ascii="Arial" w:eastAsia="Times New Roman" w:hAnsi="Arial" w:cs="Arial"/>
            <w:lang/>
          </w:rPr>
          <w:t xml:space="preserve">DiMaggio &amp; </w:t>
        </w:r>
        <w:proofErr w:type="spellStart"/>
        <w:r w:rsidRPr="00775749">
          <w:rPr>
            <w:rFonts w:ascii="Arial" w:eastAsia="Times New Roman" w:hAnsi="Arial" w:cs="Arial"/>
            <w:lang/>
          </w:rPr>
          <w:t>Hargittai</w:t>
        </w:r>
        <w:proofErr w:type="spellEnd"/>
        <w:r w:rsidRPr="00775749">
          <w:rPr>
            <w:rFonts w:ascii="Arial" w:eastAsia="Times New Roman" w:hAnsi="Arial" w:cs="Arial"/>
            <w:lang/>
          </w:rPr>
          <w:t>, 2002</w:t>
        </w:r>
      </w:hyperlink>
      <w:r w:rsidRPr="00775749">
        <w:rPr>
          <w:rFonts w:ascii="Arial" w:eastAsia="Times New Roman" w:hAnsi="Arial" w:cs="Arial"/>
          <w:lang/>
        </w:rPr>
        <w:t>), such as looking for financial, political, or government information online, are associated with socioeconomic status (</w:t>
      </w:r>
      <w:hyperlink r:id="rId21" w:anchor="b27" w:tooltip="Link to bibliographic citation" w:history="1">
        <w:r w:rsidRPr="00775749">
          <w:rPr>
            <w:rFonts w:ascii="Arial" w:eastAsia="Times New Roman" w:hAnsi="Arial" w:cs="Arial"/>
            <w:lang/>
          </w:rPr>
          <w:t>Howard et al., 2001</w:t>
        </w:r>
      </w:hyperlink>
      <w:r w:rsidRPr="00775749">
        <w:rPr>
          <w:rFonts w:ascii="Arial" w:eastAsia="Times New Roman" w:hAnsi="Arial" w:cs="Arial"/>
          <w:lang/>
        </w:rPr>
        <w:t>). Moreover, the circumstances under which people use the medium—such as their autonomy (</w:t>
      </w:r>
      <w:hyperlink r:id="rId22" w:anchor="b21" w:tooltip="Link to bibliographic citation" w:history="1">
        <w:proofErr w:type="spellStart"/>
        <w:r w:rsidRPr="00775749">
          <w:rPr>
            <w:rFonts w:ascii="Arial" w:eastAsia="Times New Roman" w:hAnsi="Arial" w:cs="Arial"/>
            <w:lang/>
          </w:rPr>
          <w:t>Hassani</w:t>
        </w:r>
        <w:proofErr w:type="spellEnd"/>
        <w:r w:rsidRPr="00775749">
          <w:rPr>
            <w:rFonts w:ascii="Arial" w:eastAsia="Times New Roman" w:hAnsi="Arial" w:cs="Arial"/>
            <w:lang/>
          </w:rPr>
          <w:t>, 2006</w:t>
        </w:r>
      </w:hyperlink>
      <w:r w:rsidRPr="00775749">
        <w:rPr>
          <w:rFonts w:ascii="Arial" w:eastAsia="Times New Roman" w:hAnsi="Arial" w:cs="Arial"/>
          <w:lang/>
        </w:rPr>
        <w:t>) and experience of use (</w:t>
      </w:r>
      <w:hyperlink r:id="rId23" w:anchor="b27" w:tooltip="Link to bibliographic citation" w:history="1">
        <w:r w:rsidRPr="00775749">
          <w:rPr>
            <w:rFonts w:ascii="Arial" w:eastAsia="Times New Roman" w:hAnsi="Arial" w:cs="Arial"/>
            <w:lang/>
          </w:rPr>
          <w:t>Howard et al., 2001</w:t>
        </w:r>
      </w:hyperlink>
      <w:r w:rsidRPr="00775749">
        <w:rPr>
          <w:rFonts w:ascii="Arial" w:eastAsia="Times New Roman" w:hAnsi="Arial" w:cs="Arial"/>
          <w:lang/>
        </w:rPr>
        <w:t>)—are also related to the purposes to which they put the medium. Research has shown that more locations where one has Internet access and more time spent online are associated with more diverse types of uses (</w:t>
      </w:r>
      <w:hyperlink r:id="rId24" w:anchor="b19" w:tooltip="Link to bibliographic citation" w:history="1">
        <w:proofErr w:type="spellStart"/>
        <w:r w:rsidRPr="00775749">
          <w:rPr>
            <w:rFonts w:ascii="Arial" w:eastAsia="Times New Roman" w:hAnsi="Arial" w:cs="Arial"/>
            <w:lang/>
          </w:rPr>
          <w:t>Hargittai</w:t>
        </w:r>
        <w:proofErr w:type="spellEnd"/>
        <w:r w:rsidRPr="00775749">
          <w:rPr>
            <w:rFonts w:ascii="Arial" w:eastAsia="Times New Roman" w:hAnsi="Arial" w:cs="Arial"/>
            <w:lang/>
          </w:rPr>
          <w:t xml:space="preserve"> &amp; </w:t>
        </w:r>
        <w:proofErr w:type="spellStart"/>
        <w:r w:rsidRPr="00775749">
          <w:rPr>
            <w:rFonts w:ascii="Arial" w:eastAsia="Times New Roman" w:hAnsi="Arial" w:cs="Arial"/>
            <w:lang/>
          </w:rPr>
          <w:t>Hinnant</w:t>
        </w:r>
        <w:proofErr w:type="spellEnd"/>
        <w:r w:rsidRPr="00775749">
          <w:rPr>
            <w:rFonts w:ascii="Arial" w:eastAsia="Times New Roman" w:hAnsi="Arial" w:cs="Arial"/>
            <w:lang/>
          </w:rPr>
          <w:t>, 2005</w:t>
        </w:r>
      </w:hyperlink>
      <w:r w:rsidRPr="00775749">
        <w:rPr>
          <w:rFonts w:ascii="Arial" w:eastAsia="Times New Roman" w:hAnsi="Arial" w:cs="Arial"/>
          <w:lang/>
        </w:rPr>
        <w:t>).</w:t>
      </w:r>
    </w:p>
    <w:p w:rsidR="00775749" w:rsidRPr="00775749" w:rsidRDefault="00775749" w:rsidP="00775749">
      <w:pPr>
        <w:spacing w:line="360" w:lineRule="atLeast"/>
        <w:rPr>
          <w:rFonts w:ascii="Arial" w:eastAsia="Times New Roman" w:hAnsi="Arial" w:cs="Arial"/>
          <w:lang/>
        </w:rPr>
      </w:pPr>
      <w:r w:rsidRPr="00775749">
        <w:rPr>
          <w:rFonts w:ascii="Arial" w:eastAsia="Times New Roman" w:hAnsi="Arial" w:cs="Arial"/>
          <w:lang/>
        </w:rPr>
        <w:t>Research on refined understandings of the digital divide has found that even once people go online, differences exist among their online pursuits (</w:t>
      </w:r>
      <w:hyperlink r:id="rId25" w:anchor="b10" w:tooltip="Link to bibliographic citations" w:history="1">
        <w:r w:rsidRPr="00775749">
          <w:rPr>
            <w:rFonts w:ascii="Arial" w:eastAsia="Times New Roman" w:hAnsi="Arial" w:cs="Arial"/>
            <w:lang/>
          </w:rPr>
          <w:t xml:space="preserve">DiMaggio, </w:t>
        </w:r>
        <w:proofErr w:type="spellStart"/>
        <w:r w:rsidRPr="00775749">
          <w:rPr>
            <w:rFonts w:ascii="Arial" w:eastAsia="Times New Roman" w:hAnsi="Arial" w:cs="Arial"/>
            <w:lang/>
          </w:rPr>
          <w:t>Hargittai</w:t>
        </w:r>
        <w:proofErr w:type="spellEnd"/>
        <w:r w:rsidRPr="00775749">
          <w:rPr>
            <w:rFonts w:ascii="Arial" w:eastAsia="Times New Roman" w:hAnsi="Arial" w:cs="Arial"/>
            <w:lang/>
          </w:rPr>
          <w:t xml:space="preserve">, Celeste, &amp; Shafer, 2004; </w:t>
        </w:r>
        <w:proofErr w:type="spellStart"/>
        <w:r w:rsidRPr="00775749">
          <w:rPr>
            <w:rFonts w:ascii="Arial" w:eastAsia="Times New Roman" w:hAnsi="Arial" w:cs="Arial"/>
            <w:lang/>
          </w:rPr>
          <w:t>Hargittai</w:t>
        </w:r>
        <w:proofErr w:type="spellEnd"/>
        <w:r w:rsidRPr="00775749">
          <w:rPr>
            <w:rFonts w:ascii="Arial" w:eastAsia="Times New Roman" w:hAnsi="Arial" w:cs="Arial"/>
            <w:lang/>
          </w:rPr>
          <w:t xml:space="preserve">, 2002, 2007; Livingstone &amp; </w:t>
        </w:r>
        <w:proofErr w:type="spellStart"/>
        <w:r w:rsidRPr="00775749">
          <w:rPr>
            <w:rFonts w:ascii="Arial" w:eastAsia="Times New Roman" w:hAnsi="Arial" w:cs="Arial"/>
            <w:lang/>
          </w:rPr>
          <w:t>Helsper</w:t>
        </w:r>
        <w:proofErr w:type="spellEnd"/>
        <w:r w:rsidRPr="00775749">
          <w:rPr>
            <w:rFonts w:ascii="Arial" w:eastAsia="Times New Roman" w:hAnsi="Arial" w:cs="Arial"/>
            <w:lang/>
          </w:rPr>
          <w:t xml:space="preserve">, 2007; </w:t>
        </w:r>
        <w:proofErr w:type="spellStart"/>
        <w:r w:rsidRPr="00775749">
          <w:rPr>
            <w:rFonts w:ascii="Arial" w:eastAsia="Times New Roman" w:hAnsi="Arial" w:cs="Arial"/>
            <w:lang/>
          </w:rPr>
          <w:t>Mossberger</w:t>
        </w:r>
        <w:proofErr w:type="spellEnd"/>
        <w:r w:rsidRPr="00775749">
          <w:rPr>
            <w:rFonts w:ascii="Arial" w:eastAsia="Times New Roman" w:hAnsi="Arial" w:cs="Arial"/>
            <w:lang/>
          </w:rPr>
          <w:t xml:space="preserve">, Tolbert, &amp; </w:t>
        </w:r>
        <w:proofErr w:type="spellStart"/>
        <w:r w:rsidRPr="00775749">
          <w:rPr>
            <w:rFonts w:ascii="Arial" w:eastAsia="Times New Roman" w:hAnsi="Arial" w:cs="Arial"/>
            <w:lang/>
          </w:rPr>
          <w:t>Stansbury</w:t>
        </w:r>
        <w:proofErr w:type="spellEnd"/>
        <w:r w:rsidRPr="00775749">
          <w:rPr>
            <w:rFonts w:ascii="Arial" w:eastAsia="Times New Roman" w:hAnsi="Arial" w:cs="Arial"/>
            <w:lang/>
          </w:rPr>
          <w:t xml:space="preserve">, </w:t>
        </w:r>
        <w:r w:rsidRPr="00775749">
          <w:rPr>
            <w:rFonts w:ascii="Arial" w:eastAsia="Times New Roman" w:hAnsi="Arial" w:cs="Arial"/>
            <w:lang/>
          </w:rPr>
          <w:lastRenderedPageBreak/>
          <w:t xml:space="preserve">2003; van </w:t>
        </w:r>
        <w:proofErr w:type="spellStart"/>
        <w:r w:rsidRPr="00775749">
          <w:rPr>
            <w:rFonts w:ascii="Arial" w:eastAsia="Times New Roman" w:hAnsi="Arial" w:cs="Arial"/>
            <w:lang/>
          </w:rPr>
          <w:t>Dijk</w:t>
        </w:r>
        <w:proofErr w:type="spellEnd"/>
        <w:r w:rsidRPr="00775749">
          <w:rPr>
            <w:rFonts w:ascii="Arial" w:eastAsia="Times New Roman" w:hAnsi="Arial" w:cs="Arial"/>
            <w:lang/>
          </w:rPr>
          <w:t>, 2005</w:t>
        </w:r>
      </w:hyperlink>
      <w:r w:rsidRPr="00775749">
        <w:rPr>
          <w:rFonts w:ascii="Arial" w:eastAsia="Times New Roman" w:hAnsi="Arial" w:cs="Arial"/>
          <w:lang/>
        </w:rPr>
        <w:t>). Given that various background characteristics of people, the context of their Internet uses, and their level of experience have all been shown to influence types of Web uses in general, it is worth considering whether they may also relate to social network site usage in particular. That is, given earlier work on differentiated Internet use among people from different backgrounds, there is no reason to assume equal adoption of SNSs across population segments. Work that focuses solely on users of social network sites excludes, by definition, people who are not SNS users. Insofar as these people are systematically different from those who embrace these services, it is problematic not to know anything about them, since researchers thereby risk unintentionally excluding entire groups of people from discussion about SNSs.</w:t>
      </w:r>
    </w:p>
    <w:p w:rsidR="00775749" w:rsidRPr="005401CC" w:rsidRDefault="00775749" w:rsidP="00775749"/>
    <w:p w:rsidR="00775749" w:rsidRPr="005401CC" w:rsidRDefault="00775749" w:rsidP="00775749">
      <w:pPr>
        <w:rPr>
          <w:b/>
        </w:rPr>
      </w:pPr>
      <w:r w:rsidRPr="005401CC">
        <w:rPr>
          <w:b/>
        </w:rPr>
        <w:t>The Challenges of Studying SNS Adoption</w:t>
      </w:r>
    </w:p>
    <w:p w:rsidR="00775749" w:rsidRPr="00775749" w:rsidRDefault="00775749" w:rsidP="00775749">
      <w:pPr>
        <w:spacing w:after="240" w:line="360" w:lineRule="atLeast"/>
        <w:rPr>
          <w:rFonts w:ascii="Arial" w:eastAsia="Times New Roman" w:hAnsi="Arial" w:cs="Arial"/>
          <w:lang/>
        </w:rPr>
      </w:pPr>
      <w:r w:rsidRPr="00775749">
        <w:rPr>
          <w:rFonts w:ascii="Arial" w:eastAsia="Times New Roman" w:hAnsi="Arial" w:cs="Arial"/>
          <w:lang/>
        </w:rPr>
        <w:t>An important reason for the scarcity of work that predicts SNS usage is the lack of appropriate data necessary to address such questions. Despite Internet user studies starting to focus on particular online behaviors, rather than considering all online actions to be uniform (</w:t>
      </w:r>
      <w:hyperlink r:id="rId26" w:anchor="b26" w:tooltip="Link to bibliographic citations" w:history="1">
        <w:r w:rsidRPr="00775749">
          <w:rPr>
            <w:rFonts w:ascii="Arial" w:eastAsia="Times New Roman" w:hAnsi="Arial" w:cs="Arial"/>
            <w:lang/>
          </w:rPr>
          <w:t xml:space="preserve">Howard &amp; Jones, 2004; Wellman &amp; </w:t>
        </w:r>
        <w:proofErr w:type="spellStart"/>
        <w:r w:rsidRPr="00775749">
          <w:rPr>
            <w:rFonts w:ascii="Arial" w:eastAsia="Times New Roman" w:hAnsi="Arial" w:cs="Arial"/>
            <w:lang/>
          </w:rPr>
          <w:t>Haythornthwaite</w:t>
        </w:r>
        <w:proofErr w:type="spellEnd"/>
        <w:r w:rsidRPr="00775749">
          <w:rPr>
            <w:rFonts w:ascii="Arial" w:eastAsia="Times New Roman" w:hAnsi="Arial" w:cs="Arial"/>
            <w:lang/>
          </w:rPr>
          <w:t>, 2002</w:t>
        </w:r>
      </w:hyperlink>
      <w:r w:rsidRPr="00775749">
        <w:rPr>
          <w:rFonts w:ascii="Arial" w:eastAsia="Times New Roman" w:hAnsi="Arial" w:cs="Arial"/>
          <w:lang/>
        </w:rPr>
        <w:t xml:space="preserve">), categorizations of online activities have remained relatively broad, making it difficult to understand who does what online, why, and how this influences the rest of people’s lives. Additionally, because the popularity of SNSs is relatively recent, initial data collection efforts about Web uses did not focus on them. It is more customary to ask about the topics people encounter on websites (e.g., Internet use for the purposes of gathering information about news or health matters) than to inquire in detail about the particular sites and communities in which people may be participating. </w:t>
      </w:r>
    </w:p>
    <w:p w:rsidR="00775749" w:rsidRPr="00775749" w:rsidRDefault="00775749" w:rsidP="00775749">
      <w:pPr>
        <w:spacing w:after="240" w:line="360" w:lineRule="atLeast"/>
        <w:rPr>
          <w:rFonts w:ascii="Arial" w:eastAsia="Times New Roman" w:hAnsi="Arial" w:cs="Arial"/>
          <w:lang/>
        </w:rPr>
      </w:pPr>
      <w:r w:rsidRPr="00775749">
        <w:rPr>
          <w:rFonts w:ascii="Arial" w:eastAsia="Times New Roman" w:hAnsi="Arial" w:cs="Arial"/>
          <w:lang/>
        </w:rPr>
        <w:t xml:space="preserve">Another challenge in studying social network site usage stems from the fact that large-scale questionnaires (e.g., the Current Population Survey and the General Social Survey) have mainly focused on adult populations, with relatively few young people represented in their samples. Yet, young people are known to be some of the most likely to participate on some SNSs (e.g., </w:t>
      </w:r>
      <w:proofErr w:type="spellStart"/>
      <w:r w:rsidRPr="00775749">
        <w:rPr>
          <w:rFonts w:ascii="Arial" w:eastAsia="Times New Roman" w:hAnsi="Arial" w:cs="Arial"/>
          <w:lang/>
        </w:rPr>
        <w:t>Facebook’s</w:t>
      </w:r>
      <w:proofErr w:type="spellEnd"/>
      <w:r w:rsidRPr="00775749">
        <w:rPr>
          <w:rFonts w:ascii="Arial" w:eastAsia="Times New Roman" w:hAnsi="Arial" w:cs="Arial"/>
          <w:lang/>
        </w:rPr>
        <w:t xml:space="preserve"> initial focus on college students and then high school students left out older people by design), suggesting that concentrating on adolescents and young adults is especially important if researchers are to gain a better understanding of how such sites are being incorporated into people’s lives. Moreover, because young adults are much more wired than their older counterparts (</w:t>
      </w:r>
      <w:hyperlink r:id="rId27" w:anchor="b13" w:tooltip="Link to bibliographic citations" w:history="1">
        <w:r w:rsidRPr="00775749">
          <w:rPr>
            <w:rFonts w:ascii="Arial" w:eastAsia="Times New Roman" w:hAnsi="Arial" w:cs="Arial"/>
            <w:lang/>
          </w:rPr>
          <w:t>Fox, 2004; Madden, 2006</w:t>
        </w:r>
      </w:hyperlink>
      <w:r w:rsidRPr="00775749">
        <w:rPr>
          <w:rFonts w:ascii="Arial" w:eastAsia="Times New Roman" w:hAnsi="Arial" w:cs="Arial"/>
          <w:lang/>
        </w:rPr>
        <w:t>), it can be beneficial to focus studies on this population, especially if the goal is to understand refined measures of use once basic access and connectivity are controlled for.</w:t>
      </w:r>
    </w:p>
    <w:p w:rsidR="00775749" w:rsidRPr="00775749" w:rsidRDefault="00775749" w:rsidP="00775749">
      <w:pPr>
        <w:spacing w:line="360" w:lineRule="atLeast"/>
        <w:rPr>
          <w:rFonts w:ascii="Arial" w:eastAsia="Times New Roman" w:hAnsi="Arial" w:cs="Arial"/>
          <w:lang/>
        </w:rPr>
      </w:pPr>
      <w:r w:rsidRPr="00775749">
        <w:rPr>
          <w:rFonts w:ascii="Arial" w:eastAsia="Times New Roman" w:hAnsi="Arial" w:cs="Arial"/>
          <w:lang/>
        </w:rPr>
        <w:t xml:space="preserve">College students in the U.S. constitute an ideal population in which to study differences in particular types of digital media uses, given their high connectivity levels. Often, the lack of data on young people’s experiences with information and communication technologies makes it </w:t>
      </w:r>
      <w:r w:rsidRPr="00775749">
        <w:rPr>
          <w:rFonts w:ascii="Arial" w:eastAsia="Times New Roman" w:hAnsi="Arial" w:cs="Arial"/>
          <w:lang/>
        </w:rPr>
        <w:lastRenderedPageBreak/>
        <w:t xml:space="preserve">difficult to know whether assumptions about their active online participation are warranted. It would be incorrect to assume that simply using the medium can be equated with equal use of all sites in similar ways. A systematic study of everyday digital media practices is essential to understanding how communication and information technologies are affecting the lives of different types of young adults. The next section introduces the unique data set used in this study to address these questions, followed by findings from </w:t>
      </w:r>
      <w:proofErr w:type="spellStart"/>
      <w:r w:rsidRPr="00775749">
        <w:rPr>
          <w:rFonts w:ascii="Arial" w:eastAsia="Times New Roman" w:hAnsi="Arial" w:cs="Arial"/>
          <w:lang/>
        </w:rPr>
        <w:t>bivariate</w:t>
      </w:r>
      <w:proofErr w:type="spellEnd"/>
      <w:r w:rsidRPr="00775749">
        <w:rPr>
          <w:rFonts w:ascii="Arial" w:eastAsia="Times New Roman" w:hAnsi="Arial" w:cs="Arial"/>
          <w:lang/>
        </w:rPr>
        <w:t xml:space="preserve"> and logistic regression analyses explaining differential social network site adoption.</w:t>
      </w:r>
    </w:p>
    <w:p w:rsidR="00775749" w:rsidRPr="005401CC" w:rsidRDefault="00775749" w:rsidP="00775749">
      <w:pPr>
        <w:rPr>
          <w:b/>
        </w:rPr>
      </w:pPr>
      <w:r w:rsidRPr="005401CC">
        <w:rPr>
          <w:b/>
        </w:rPr>
        <w:t>Method</w:t>
      </w:r>
    </w:p>
    <w:p w:rsidR="00775749" w:rsidRPr="00775749" w:rsidRDefault="00775749" w:rsidP="00775749">
      <w:pPr>
        <w:spacing w:after="240" w:line="360" w:lineRule="atLeast"/>
        <w:rPr>
          <w:rFonts w:ascii="Arial" w:eastAsia="Times New Roman" w:hAnsi="Arial" w:cs="Arial"/>
          <w:lang/>
        </w:rPr>
      </w:pPr>
      <w:r w:rsidRPr="00775749">
        <w:rPr>
          <w:rFonts w:ascii="Arial" w:eastAsia="Times New Roman" w:hAnsi="Arial" w:cs="Arial"/>
          <w:lang/>
        </w:rPr>
        <w:t>The analyses presented here are based on data representing a diverse group of mainly 18- and 19-year-old college students. The study was conducted in February and March of 2007 at the University of Illinois, Chicago, which is a U.S. urban public research university.</w:t>
      </w:r>
      <w:hyperlink r:id="rId28" w:anchor="fn1" w:tooltip="Link to note" w:history="1">
        <w:r w:rsidRPr="00775749">
          <w:rPr>
            <w:rFonts w:ascii="Arial" w:eastAsia="Times New Roman" w:hAnsi="Arial" w:cs="Arial"/>
            <w:vertAlign w:val="superscript"/>
            <w:lang/>
          </w:rPr>
          <w:t>1</w:t>
        </w:r>
      </w:hyperlink>
      <w:hyperlink r:id="rId29" w:anchor="b47" w:tooltip="Link to bibliographic citation" w:history="1">
        <w:r w:rsidRPr="005401CC">
          <w:rPr>
            <w:rFonts w:ascii="Arial" w:eastAsia="Times New Roman" w:hAnsi="Arial" w:cs="Arial"/>
            <w:i/>
            <w:iCs/>
            <w:lang/>
          </w:rPr>
          <w:t xml:space="preserve">U.S. News and World Report </w:t>
        </w:r>
        <w:r w:rsidRPr="00775749">
          <w:rPr>
            <w:rFonts w:ascii="Arial" w:eastAsia="Times New Roman" w:hAnsi="Arial" w:cs="Arial"/>
            <w:lang/>
          </w:rPr>
          <w:t>(2006)</w:t>
        </w:r>
      </w:hyperlink>
      <w:r w:rsidRPr="00775749">
        <w:rPr>
          <w:rFonts w:ascii="Arial" w:eastAsia="Times New Roman" w:hAnsi="Arial" w:cs="Arial"/>
          <w:lang/>
        </w:rPr>
        <w:t xml:space="preserve"> ranked this campus among the top 10 national universities as regards campus ethnic diversity, suggesting that this school offers an ideal location for studies of how different kinds of people use online sites and services.</w:t>
      </w:r>
    </w:p>
    <w:p w:rsidR="00775749" w:rsidRPr="00775749" w:rsidRDefault="00775749" w:rsidP="00775749">
      <w:pPr>
        <w:spacing w:after="240" w:line="360" w:lineRule="atLeast"/>
        <w:rPr>
          <w:rFonts w:ascii="Arial" w:eastAsia="Times New Roman" w:hAnsi="Arial" w:cs="Arial"/>
          <w:lang/>
        </w:rPr>
      </w:pPr>
      <w:r w:rsidRPr="00775749">
        <w:rPr>
          <w:rFonts w:ascii="Arial" w:eastAsia="Times New Roman" w:hAnsi="Arial" w:cs="Arial"/>
          <w:lang/>
        </w:rPr>
        <w:t>The project had the support of the First-Year Writing Program at the university, ensuring that a representative sample of the school’s undergraduate student body would participate. The writing course offered through this program is the only course on campus that is required of all students; thus, enrollment in it does not pose any selection bias. Out of the 87 sections offered as part of this course, 85 took part in the study, constituting a 98% participation rate on the part of course sections. Overall, there was a final response rate of 82% based on all of the students enrolled in the course. In order to control for time in the program, this article focuses on students in the first-year class.</w:t>
      </w:r>
    </w:p>
    <w:p w:rsidR="00775749" w:rsidRPr="00775749" w:rsidRDefault="00775749" w:rsidP="00775749">
      <w:pPr>
        <w:spacing w:after="240" w:line="360" w:lineRule="atLeast"/>
        <w:rPr>
          <w:rFonts w:ascii="Arial" w:eastAsia="Times New Roman" w:hAnsi="Arial" w:cs="Arial"/>
          <w:lang/>
        </w:rPr>
      </w:pPr>
      <w:r w:rsidRPr="00775749">
        <w:rPr>
          <w:rFonts w:ascii="Arial" w:eastAsia="Times New Roman" w:hAnsi="Arial" w:cs="Arial"/>
          <w:lang/>
        </w:rPr>
        <w:t>The survey was administered on paper instead of online. Relying on an online questionnaire when studying Internet uses could create a bias toward people who spend more time online, given that they may be more inclined to fill out the questionnaire and also, perhaps, more inclined toward higher rates of participation on the sites of research interest. The average survey completion time was approximately 30 minutes. The survey included detailed questions about respondents’ Internet uses (e.g., experience, types of sites visited, and online activities) and their demographic background.</w:t>
      </w:r>
    </w:p>
    <w:p w:rsidR="00775749" w:rsidRPr="00775749" w:rsidRDefault="00775749" w:rsidP="00775749">
      <w:pPr>
        <w:spacing w:after="240" w:line="360" w:lineRule="atLeast"/>
        <w:rPr>
          <w:rFonts w:ascii="Arial" w:eastAsia="Times New Roman" w:hAnsi="Arial" w:cs="Arial"/>
          <w:lang/>
        </w:rPr>
      </w:pPr>
      <w:r w:rsidRPr="00775749">
        <w:rPr>
          <w:rFonts w:ascii="Arial" w:eastAsia="Times New Roman" w:hAnsi="Arial" w:cs="Arial"/>
          <w:lang/>
        </w:rPr>
        <w:t xml:space="preserve">Basic demographic information was measured using standard modes of </w:t>
      </w:r>
      <w:proofErr w:type="spellStart"/>
      <w:r w:rsidRPr="00775749">
        <w:rPr>
          <w:rFonts w:ascii="Arial" w:eastAsia="Times New Roman" w:hAnsi="Arial" w:cs="Arial"/>
          <w:lang/>
        </w:rPr>
        <w:t>operationalization</w:t>
      </w:r>
      <w:proofErr w:type="spellEnd"/>
      <w:r w:rsidRPr="00775749">
        <w:rPr>
          <w:rFonts w:ascii="Arial" w:eastAsia="Times New Roman" w:hAnsi="Arial" w:cs="Arial"/>
          <w:lang/>
        </w:rPr>
        <w:t xml:space="preserve">. Students were asked their year of birth, and this information was used to calculate their age, which is included in the models as a continuous variable. Male is the base gender category (male = 0, female = 1). Information about race and ethnicity was collected using the </w:t>
      </w:r>
      <w:hyperlink r:id="rId30" w:anchor="b46" w:tooltip="Link to bibliographic citation" w:history="1">
        <w:r w:rsidRPr="00775749">
          <w:rPr>
            <w:rFonts w:ascii="Arial" w:eastAsia="Times New Roman" w:hAnsi="Arial" w:cs="Arial"/>
            <w:lang/>
          </w:rPr>
          <w:t>U.S. Census Bureau (2000)</w:t>
        </w:r>
      </w:hyperlink>
      <w:r w:rsidRPr="00775749">
        <w:rPr>
          <w:rFonts w:ascii="Arial" w:eastAsia="Times New Roman" w:hAnsi="Arial" w:cs="Arial"/>
          <w:lang/>
        </w:rPr>
        <w:t xml:space="preserve"> questionnaire format, and dummy variables are used in the statistical model, with White as the omitted category. Consistent with work by others, parental education was used as a measure of socioeconomic status (e.g., </w:t>
      </w:r>
      <w:hyperlink r:id="rId31" w:anchor="b6" w:tooltip="Link to bibliographic citations" w:history="1">
        <w:r w:rsidRPr="00775749">
          <w:rPr>
            <w:rFonts w:ascii="Arial" w:eastAsia="Times New Roman" w:hAnsi="Arial" w:cs="Arial"/>
            <w:lang/>
          </w:rPr>
          <w:t xml:space="preserve">Carlson, </w:t>
        </w:r>
        <w:proofErr w:type="spellStart"/>
        <w:r w:rsidRPr="00775749">
          <w:rPr>
            <w:rFonts w:ascii="Arial" w:eastAsia="Times New Roman" w:hAnsi="Arial" w:cs="Arial"/>
            <w:lang/>
          </w:rPr>
          <w:t>Uppal</w:t>
        </w:r>
        <w:proofErr w:type="spellEnd"/>
        <w:r w:rsidRPr="00775749">
          <w:rPr>
            <w:rFonts w:ascii="Arial" w:eastAsia="Times New Roman" w:hAnsi="Arial" w:cs="Arial"/>
            <w:lang/>
          </w:rPr>
          <w:t xml:space="preserve">, &amp; Prosser, 2000; </w:t>
        </w:r>
        <w:proofErr w:type="spellStart"/>
        <w:r w:rsidRPr="00775749">
          <w:rPr>
            <w:rFonts w:ascii="Arial" w:eastAsia="Times New Roman" w:hAnsi="Arial" w:cs="Arial"/>
            <w:lang/>
          </w:rPr>
          <w:lastRenderedPageBreak/>
          <w:t>Lamborn</w:t>
        </w:r>
        <w:proofErr w:type="spellEnd"/>
        <w:r w:rsidRPr="00775749">
          <w:rPr>
            <w:rFonts w:ascii="Arial" w:eastAsia="Times New Roman" w:hAnsi="Arial" w:cs="Arial"/>
            <w:lang/>
          </w:rPr>
          <w:t xml:space="preserve">, Mounts, Steinberg, &amp; </w:t>
        </w:r>
        <w:proofErr w:type="spellStart"/>
        <w:r w:rsidRPr="00775749">
          <w:rPr>
            <w:rFonts w:ascii="Arial" w:eastAsia="Times New Roman" w:hAnsi="Arial" w:cs="Arial"/>
            <w:lang/>
          </w:rPr>
          <w:t>Dornbusch</w:t>
        </w:r>
        <w:proofErr w:type="spellEnd"/>
        <w:r w:rsidRPr="00775749">
          <w:rPr>
            <w:rFonts w:ascii="Arial" w:eastAsia="Times New Roman" w:hAnsi="Arial" w:cs="Arial"/>
            <w:lang/>
          </w:rPr>
          <w:t xml:space="preserve">, 1991; </w:t>
        </w:r>
        <w:proofErr w:type="spellStart"/>
        <w:r w:rsidRPr="00775749">
          <w:rPr>
            <w:rFonts w:ascii="Arial" w:eastAsia="Times New Roman" w:hAnsi="Arial" w:cs="Arial"/>
            <w:lang/>
          </w:rPr>
          <w:t>Stice</w:t>
        </w:r>
        <w:proofErr w:type="spellEnd"/>
        <w:r w:rsidRPr="00775749">
          <w:rPr>
            <w:rFonts w:ascii="Arial" w:eastAsia="Times New Roman" w:hAnsi="Arial" w:cs="Arial"/>
            <w:lang/>
          </w:rPr>
          <w:t>, Cameron, Hayward, Taylor, &amp; Killen, 1999</w:t>
        </w:r>
      </w:hyperlink>
      <w:r w:rsidRPr="00775749">
        <w:rPr>
          <w:rFonts w:ascii="Arial" w:eastAsia="Times New Roman" w:hAnsi="Arial" w:cs="Arial"/>
          <w:lang/>
        </w:rPr>
        <w:t>). Since asking about household income has limited utility with such an age group (both because students do not know their parents’ income and because those who live in dorms may not know how to interpret “household”), and since educational level is constant in this group (every respondent is in the first year of college), parental schooling is a helpful measure. This information is included in the model as dummy variables, with some college education (but no college degree) as the base.</w:t>
      </w:r>
    </w:p>
    <w:p w:rsidR="00775749" w:rsidRPr="00775749" w:rsidRDefault="00775749" w:rsidP="00775749">
      <w:pPr>
        <w:spacing w:after="240" w:line="360" w:lineRule="atLeast"/>
        <w:rPr>
          <w:rFonts w:ascii="Arial" w:eastAsia="Times New Roman" w:hAnsi="Arial" w:cs="Arial"/>
          <w:lang/>
        </w:rPr>
      </w:pPr>
      <w:r w:rsidRPr="00775749">
        <w:rPr>
          <w:rFonts w:ascii="Arial" w:eastAsia="Times New Roman" w:hAnsi="Arial" w:cs="Arial"/>
          <w:lang/>
        </w:rPr>
        <w:t>Both the question about living at home with parents and the question about having access to the Internet at a friend’s or family member’s house is included as a dummy variable, where 1 signals yes to that question, and 0 stands for no. Finally, figures for both hours spent online per week and number of years a respondent has been an Internet user are logged in the analyses, given that an additional hour or year, respectively, likely has diminishing returns as the values increase. The analyses first consider only the core background characteristics of the user (age, gender, race and ethnicity, parental education). Then, a second model includes information about context and experience with use supplementing the core demographic variables.</w:t>
      </w:r>
    </w:p>
    <w:p w:rsidR="00775749" w:rsidRPr="00775749" w:rsidRDefault="00775749" w:rsidP="00775749">
      <w:pPr>
        <w:spacing w:after="240" w:line="360" w:lineRule="atLeast"/>
        <w:rPr>
          <w:rFonts w:ascii="Arial" w:eastAsia="Times New Roman" w:hAnsi="Arial" w:cs="Arial"/>
          <w:lang/>
        </w:rPr>
      </w:pPr>
      <w:r w:rsidRPr="00775749">
        <w:rPr>
          <w:rFonts w:ascii="Arial" w:eastAsia="Times New Roman" w:hAnsi="Arial" w:cs="Arial"/>
          <w:lang/>
        </w:rPr>
        <w:t>The 1,060 first-year students included in these analyses represent a diverse group of people.</w:t>
      </w:r>
      <w:hyperlink r:id="rId32" w:anchor="fn2" w:tooltip="Link to note" w:history="1">
        <w:r w:rsidRPr="00775749">
          <w:rPr>
            <w:rFonts w:ascii="Arial" w:eastAsia="Times New Roman" w:hAnsi="Arial" w:cs="Arial"/>
            <w:vertAlign w:val="superscript"/>
            <w:lang/>
          </w:rPr>
          <w:t>2</w:t>
        </w:r>
      </w:hyperlink>
      <w:r w:rsidRPr="00775749">
        <w:rPr>
          <w:rFonts w:ascii="Arial" w:eastAsia="Times New Roman" w:hAnsi="Arial" w:cs="Arial"/>
          <w:lang/>
        </w:rPr>
        <w:t xml:space="preserve"> Fifty-six percent of the respondents are female, 44% are male. Almost all are 18 or 19 years old, with a mean age of 18.4 and a median of 18. Fewer than half are White and non-Hispanic. Slightly less than 8% claim African or African-American descent, almost 30% are of Asian or Asian American ancestry, and just under one-fifth </w:t>
      </w:r>
      <w:proofErr w:type="gramStart"/>
      <w:r w:rsidRPr="00775749">
        <w:rPr>
          <w:rFonts w:ascii="Arial" w:eastAsia="Times New Roman" w:hAnsi="Arial" w:cs="Arial"/>
          <w:lang/>
        </w:rPr>
        <w:t>are</w:t>
      </w:r>
      <w:proofErr w:type="gramEnd"/>
      <w:r w:rsidRPr="00775749">
        <w:rPr>
          <w:rFonts w:ascii="Arial" w:eastAsia="Times New Roman" w:hAnsi="Arial" w:cs="Arial"/>
          <w:lang/>
        </w:rPr>
        <w:t xml:space="preserve"> of Hispanic origin. These students come from varied family backgrounds. Over a quarter of respondents have parents whose highest level of education is high school, with an additional 20% whose parents do not have a college degree. While it may seem that sampling from a college population assumes a highly educated group, 25% of first-years at this university drop out of college by their second year (</w:t>
      </w:r>
      <w:hyperlink r:id="rId33" w:anchor="b1" w:tooltip="Link to bibliographic citation" w:history="1">
        <w:proofErr w:type="spellStart"/>
        <w:r w:rsidRPr="00775749">
          <w:rPr>
            <w:rFonts w:ascii="Arial" w:eastAsia="Times New Roman" w:hAnsi="Arial" w:cs="Arial"/>
            <w:lang/>
          </w:rPr>
          <w:t>Ardinger</w:t>
        </w:r>
        <w:proofErr w:type="spellEnd"/>
        <w:r w:rsidRPr="00775749">
          <w:rPr>
            <w:rFonts w:ascii="Arial" w:eastAsia="Times New Roman" w:hAnsi="Arial" w:cs="Arial"/>
            <w:lang/>
          </w:rPr>
          <w:t xml:space="preserve"> et al., 2004</w:t>
        </w:r>
      </w:hyperlink>
      <w:r w:rsidRPr="00775749">
        <w:rPr>
          <w:rFonts w:ascii="Arial" w:eastAsia="Times New Roman" w:hAnsi="Arial" w:cs="Arial"/>
          <w:lang/>
        </w:rPr>
        <w:t>) and fewer than half (43.6%) will graduate within six years of enrollment (</w:t>
      </w:r>
      <w:hyperlink r:id="rId34" w:anchor="b48" w:tooltip="Link to bibliographic citation" w:history="1">
        <w:r w:rsidRPr="00775749">
          <w:rPr>
            <w:rFonts w:ascii="Arial" w:eastAsia="Times New Roman" w:hAnsi="Arial" w:cs="Arial"/>
            <w:lang/>
          </w:rPr>
          <w:t>University of Illinois-Chicago, 2004</w:t>
        </w:r>
      </w:hyperlink>
      <w:r w:rsidRPr="00775749">
        <w:rPr>
          <w:rFonts w:ascii="Arial" w:eastAsia="Times New Roman" w:hAnsi="Arial" w:cs="Arial"/>
          <w:lang/>
        </w:rPr>
        <w:t>). Unlike many U.S. colleges, over half of the students at this university commute from home and live with their parents (53.1%).</w:t>
      </w:r>
    </w:p>
    <w:p w:rsidR="00775749" w:rsidRPr="00775749" w:rsidRDefault="00775749" w:rsidP="00775749">
      <w:pPr>
        <w:spacing w:line="360" w:lineRule="atLeast"/>
        <w:rPr>
          <w:rFonts w:ascii="Arial" w:eastAsia="Times New Roman" w:hAnsi="Arial" w:cs="Arial"/>
          <w:lang/>
        </w:rPr>
      </w:pPr>
      <w:r w:rsidRPr="00775749">
        <w:rPr>
          <w:rFonts w:ascii="Arial" w:eastAsia="Times New Roman" w:hAnsi="Arial" w:cs="Arial"/>
          <w:lang/>
        </w:rPr>
        <w:t>Baseline access and use statistics (</w:t>
      </w:r>
      <w:hyperlink r:id="rId35" w:anchor="t1" w:tooltip="Link to table" w:history="1">
        <w:r w:rsidRPr="00775749">
          <w:rPr>
            <w:rFonts w:ascii="Arial" w:eastAsia="Times New Roman" w:hAnsi="Arial" w:cs="Arial"/>
            <w:lang/>
          </w:rPr>
          <w:t>Table 1</w:t>
        </w:r>
      </w:hyperlink>
      <w:r w:rsidRPr="00775749">
        <w:rPr>
          <w:rFonts w:ascii="Arial" w:eastAsia="Times New Roman" w:hAnsi="Arial" w:cs="Arial"/>
          <w:lang/>
        </w:rPr>
        <w:t xml:space="preserve">) for the sample suggest that the Internet is not a novel concept in most of these students’ lives. On average, participants have access to the Internet at over six locations and have been users for over six years. When asked how often they go online, the vast majority report doing so several times a day. They estimate spending 15.5 hours visiting Web sites weekly (excluding email, chat, and VoIP). While there is certainly some amount of variation in access and use, there are no basic barriers standing in the way of these young adults accessing the Internet. Limits may be put on their uses due to other factors (e.g., the need to share resources at home, limited hours of access due to employment), but they all have basic access. This suggests that traditional concerns about the so-called digital divide do not apply to these students as regards basic availability of the Internet. Thus looking at </w:t>
      </w:r>
      <w:r w:rsidRPr="00775749">
        <w:rPr>
          <w:rFonts w:ascii="Arial" w:eastAsia="Times New Roman" w:hAnsi="Arial" w:cs="Arial"/>
          <w:lang/>
        </w:rPr>
        <w:lastRenderedPageBreak/>
        <w:t>such a wired group of users allows us to hold basic access to digital media constant and focus on differences in details of use instead.</w:t>
      </w:r>
    </w:p>
    <w:p w:rsidR="00775749" w:rsidRPr="005401CC" w:rsidRDefault="00576140" w:rsidP="00775749">
      <w:pPr>
        <w:rPr>
          <w:b/>
        </w:rPr>
      </w:pPr>
      <w:r w:rsidRPr="005401CC">
        <w:rPr>
          <w:b/>
        </w:rPr>
        <w:t>Findings</w:t>
      </w:r>
    </w:p>
    <w:p w:rsidR="00576140" w:rsidRPr="00576140" w:rsidRDefault="00576140" w:rsidP="00576140">
      <w:pPr>
        <w:spacing w:after="240" w:line="360" w:lineRule="atLeast"/>
        <w:rPr>
          <w:rFonts w:ascii="Arial" w:eastAsia="Times New Roman" w:hAnsi="Arial" w:cs="Arial"/>
          <w:lang/>
        </w:rPr>
      </w:pPr>
      <w:r w:rsidRPr="00576140">
        <w:rPr>
          <w:rFonts w:ascii="Arial" w:eastAsia="Times New Roman" w:hAnsi="Arial" w:cs="Arial"/>
          <w:lang/>
        </w:rPr>
        <w:t xml:space="preserve">Who uses SNSs, and are different students equally likely to use the various services available in this realm? The survey included questions about six SNSs: </w:t>
      </w:r>
      <w:proofErr w:type="spellStart"/>
      <w:r w:rsidRPr="00576140">
        <w:rPr>
          <w:rFonts w:ascii="Arial" w:eastAsia="Times New Roman" w:hAnsi="Arial" w:cs="Arial"/>
          <w:lang/>
        </w:rPr>
        <w:t>Bebo</w:t>
      </w:r>
      <w:proofErr w:type="spellEnd"/>
      <w:r w:rsidRPr="00576140">
        <w:rPr>
          <w:rFonts w:ascii="Arial" w:eastAsia="Times New Roman" w:hAnsi="Arial" w:cs="Arial"/>
          <w:lang/>
        </w:rPr>
        <w:t xml:space="preserve">, </w:t>
      </w:r>
      <w:proofErr w:type="spellStart"/>
      <w:r w:rsidRPr="00576140">
        <w:rPr>
          <w:rFonts w:ascii="Arial" w:eastAsia="Times New Roman" w:hAnsi="Arial" w:cs="Arial"/>
          <w:lang/>
        </w:rPr>
        <w:t>Facebook</w:t>
      </w:r>
      <w:proofErr w:type="spellEnd"/>
      <w:r w:rsidRPr="00576140">
        <w:rPr>
          <w:rFonts w:ascii="Arial" w:eastAsia="Times New Roman" w:hAnsi="Arial" w:cs="Arial"/>
          <w:lang/>
        </w:rPr>
        <w:t xml:space="preserve">, </w:t>
      </w:r>
      <w:proofErr w:type="spellStart"/>
      <w:r w:rsidRPr="00576140">
        <w:rPr>
          <w:rFonts w:ascii="Arial" w:eastAsia="Times New Roman" w:hAnsi="Arial" w:cs="Arial"/>
          <w:lang/>
        </w:rPr>
        <w:t>Friendster</w:t>
      </w:r>
      <w:proofErr w:type="spellEnd"/>
      <w:r w:rsidRPr="00576140">
        <w:rPr>
          <w:rFonts w:ascii="Arial" w:eastAsia="Times New Roman" w:hAnsi="Arial" w:cs="Arial"/>
          <w:lang/>
        </w:rPr>
        <w:t xml:space="preserve">, MySpace, </w:t>
      </w:r>
      <w:proofErr w:type="spellStart"/>
      <w:r w:rsidRPr="00576140">
        <w:rPr>
          <w:rFonts w:ascii="Arial" w:eastAsia="Times New Roman" w:hAnsi="Arial" w:cs="Arial"/>
          <w:lang/>
        </w:rPr>
        <w:t>Orkut</w:t>
      </w:r>
      <w:proofErr w:type="spellEnd"/>
      <w:r w:rsidRPr="00576140">
        <w:rPr>
          <w:rFonts w:ascii="Arial" w:eastAsia="Times New Roman" w:hAnsi="Arial" w:cs="Arial"/>
          <w:lang/>
        </w:rPr>
        <w:t xml:space="preserve">, and </w:t>
      </w:r>
      <w:proofErr w:type="spellStart"/>
      <w:r w:rsidRPr="00576140">
        <w:rPr>
          <w:rFonts w:ascii="Arial" w:eastAsia="Times New Roman" w:hAnsi="Arial" w:cs="Arial"/>
          <w:lang/>
        </w:rPr>
        <w:t>Xanga</w:t>
      </w:r>
      <w:proofErr w:type="spellEnd"/>
      <w:r w:rsidRPr="00576140">
        <w:rPr>
          <w:rFonts w:ascii="Arial" w:eastAsia="Times New Roman" w:hAnsi="Arial" w:cs="Arial"/>
          <w:lang/>
        </w:rPr>
        <w:t>. For each, respondents were first asked to report whether they had ever heard of the site. Next, they were asked to indicate their experiences with it, using the following options: “no, have never used it,”“tried it once, but have not used it since,”“yes, have tried it in the past, but do not use it nowadays,”“yes, currently use it sometimes,” and “yes, currently use it often.”</w:t>
      </w:r>
    </w:p>
    <w:p w:rsidR="00576140" w:rsidRPr="00576140" w:rsidRDefault="00576140" w:rsidP="00576140">
      <w:pPr>
        <w:spacing w:after="240" w:line="360" w:lineRule="atLeast"/>
        <w:rPr>
          <w:rFonts w:ascii="Arial" w:eastAsia="Times New Roman" w:hAnsi="Arial" w:cs="Arial"/>
          <w:lang/>
        </w:rPr>
      </w:pPr>
      <w:r w:rsidRPr="00576140">
        <w:rPr>
          <w:rFonts w:ascii="Arial" w:eastAsia="Times New Roman" w:hAnsi="Arial" w:cs="Arial"/>
          <w:lang/>
        </w:rPr>
        <w:t>Overall, 88% of respondents are SNS users, and 74% report using at least one SNS often. Only one student claims not to have heard of any of the six SNSs included on the survey, so non-use is not a result of not being familiar with these services. Rather, despite knowing about such sites, over 12% of the sample does not use any of them.</w:t>
      </w:r>
    </w:p>
    <w:p w:rsidR="00576140" w:rsidRPr="005401CC" w:rsidRDefault="00576140" w:rsidP="00576140">
      <w:pPr>
        <w:spacing w:line="360" w:lineRule="atLeast"/>
        <w:rPr>
          <w:rFonts w:ascii="Arial" w:eastAsia="Times New Roman" w:hAnsi="Arial" w:cs="Arial"/>
          <w:lang/>
        </w:rPr>
      </w:pPr>
      <w:hyperlink r:id="rId36" w:anchor="t2" w:tooltip="Link to table" w:history="1">
        <w:r w:rsidRPr="00576140">
          <w:rPr>
            <w:rFonts w:ascii="Arial" w:eastAsia="Times New Roman" w:hAnsi="Arial" w:cs="Arial"/>
            <w:lang/>
          </w:rPr>
          <w:t>Table 2</w:t>
        </w:r>
      </w:hyperlink>
      <w:r w:rsidRPr="00576140">
        <w:rPr>
          <w:rFonts w:ascii="Arial" w:eastAsia="Times New Roman" w:hAnsi="Arial" w:cs="Arial"/>
          <w:lang/>
        </w:rPr>
        <w:t xml:space="preserve"> shows the proportion of SNS users by specific site. </w:t>
      </w:r>
      <w:proofErr w:type="spellStart"/>
      <w:r w:rsidRPr="00576140">
        <w:rPr>
          <w:rFonts w:ascii="Arial" w:eastAsia="Times New Roman" w:hAnsi="Arial" w:cs="Arial"/>
          <w:lang/>
        </w:rPr>
        <w:t>Facebook</w:t>
      </w:r>
      <w:proofErr w:type="spellEnd"/>
      <w:r w:rsidRPr="00576140">
        <w:rPr>
          <w:rFonts w:ascii="Arial" w:eastAsia="Times New Roman" w:hAnsi="Arial" w:cs="Arial"/>
          <w:lang/>
        </w:rPr>
        <w:t xml:space="preserve"> is the most popular service among these students, with almost four in five using it, and over half of the overall sample doing so frequently. MySpace is used by more than half of the sample, although just over one-third uses it often. The other four sites (</w:t>
      </w:r>
      <w:proofErr w:type="spellStart"/>
      <w:r w:rsidRPr="00576140">
        <w:rPr>
          <w:rFonts w:ascii="Arial" w:eastAsia="Times New Roman" w:hAnsi="Arial" w:cs="Arial"/>
          <w:lang/>
        </w:rPr>
        <w:t>Xanga</w:t>
      </w:r>
      <w:proofErr w:type="spellEnd"/>
      <w:r w:rsidRPr="00576140">
        <w:rPr>
          <w:rFonts w:ascii="Arial" w:eastAsia="Times New Roman" w:hAnsi="Arial" w:cs="Arial"/>
          <w:lang/>
        </w:rPr>
        <w:t xml:space="preserve">, </w:t>
      </w:r>
      <w:proofErr w:type="spellStart"/>
      <w:r w:rsidRPr="00576140">
        <w:rPr>
          <w:rFonts w:ascii="Arial" w:eastAsia="Times New Roman" w:hAnsi="Arial" w:cs="Arial"/>
          <w:lang/>
        </w:rPr>
        <w:t>Friendster</w:t>
      </w:r>
      <w:proofErr w:type="spellEnd"/>
      <w:r w:rsidRPr="00576140">
        <w:rPr>
          <w:rFonts w:ascii="Arial" w:eastAsia="Times New Roman" w:hAnsi="Arial" w:cs="Arial"/>
          <w:lang/>
        </w:rPr>
        <w:t xml:space="preserve">, </w:t>
      </w:r>
      <w:proofErr w:type="spellStart"/>
      <w:r w:rsidRPr="00576140">
        <w:rPr>
          <w:rFonts w:ascii="Arial" w:eastAsia="Times New Roman" w:hAnsi="Arial" w:cs="Arial"/>
          <w:lang/>
        </w:rPr>
        <w:t>Orkut</w:t>
      </w:r>
      <w:proofErr w:type="spellEnd"/>
      <w:r w:rsidRPr="00576140">
        <w:rPr>
          <w:rFonts w:ascii="Arial" w:eastAsia="Times New Roman" w:hAnsi="Arial" w:cs="Arial"/>
          <w:lang/>
        </w:rPr>
        <w:t xml:space="preserve">, and </w:t>
      </w:r>
      <w:proofErr w:type="spellStart"/>
      <w:r w:rsidRPr="00576140">
        <w:rPr>
          <w:rFonts w:ascii="Arial" w:eastAsia="Times New Roman" w:hAnsi="Arial" w:cs="Arial"/>
          <w:lang/>
        </w:rPr>
        <w:t>Bebo</w:t>
      </w:r>
      <w:proofErr w:type="spellEnd"/>
      <w:r w:rsidRPr="00576140">
        <w:rPr>
          <w:rFonts w:ascii="Arial" w:eastAsia="Times New Roman" w:hAnsi="Arial" w:cs="Arial"/>
          <w:lang/>
        </w:rPr>
        <w:t>, in that order of popularity) are significantly less widespread in this group, with each used by less than 10% of the sample.</w:t>
      </w:r>
    </w:p>
    <w:tbl>
      <w:tblPr>
        <w:tblW w:w="4997" w:type="pct"/>
        <w:tblBorders>
          <w:top w:val="single" w:sz="6" w:space="0" w:color="000000"/>
          <w:bottom w:val="single" w:sz="6" w:space="0" w:color="000000"/>
        </w:tblBorders>
        <w:tblCellMar>
          <w:top w:w="15" w:type="dxa"/>
          <w:left w:w="15" w:type="dxa"/>
          <w:bottom w:w="15" w:type="dxa"/>
          <w:right w:w="15" w:type="dxa"/>
        </w:tblCellMar>
        <w:tblLook w:val="04A0"/>
      </w:tblPr>
      <w:tblGrid>
        <w:gridCol w:w="9324"/>
        <w:gridCol w:w="6"/>
        <w:gridCol w:w="6"/>
        <w:gridCol w:w="6"/>
        <w:gridCol w:w="6"/>
        <w:gridCol w:w="6"/>
      </w:tblGrid>
      <w:tr w:rsidR="00576140" w:rsidRPr="00576140" w:rsidTr="009F21E8">
        <w:trPr>
          <w:tblHeader/>
        </w:trPr>
        <w:tc>
          <w:tcPr>
            <w:tcW w:w="0" w:type="auto"/>
            <w:gridSpan w:val="6"/>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before="24" w:after="360" w:line="240" w:lineRule="auto"/>
              <w:rPr>
                <w:rFonts w:ascii="Arial" w:eastAsia="Times New Roman" w:hAnsi="Arial" w:cs="Arial"/>
                <w:b/>
                <w:bCs/>
                <w:color w:val="000000"/>
                <w:sz w:val="18"/>
                <w:szCs w:val="18"/>
              </w:rPr>
            </w:pPr>
            <w:r w:rsidRPr="00576140">
              <w:rPr>
                <w:rFonts w:ascii="Arial" w:eastAsia="Times New Roman" w:hAnsi="Arial" w:cs="Arial"/>
                <w:b/>
                <w:bCs/>
                <w:color w:val="000000"/>
                <w:sz w:val="18"/>
              </w:rPr>
              <w:t xml:space="preserve">Table 2.  Familiarity and experience with social network sites among participants (percentages) </w:t>
            </w:r>
          </w:p>
        </w:tc>
      </w:tr>
      <w:tr w:rsidR="00576140" w:rsidRPr="00576140" w:rsidTr="009F21E8">
        <w:tc>
          <w:tcPr>
            <w:tcW w:w="0" w:type="auto"/>
            <w:tcBorders>
              <w:top w:val="nil"/>
              <w:bottom w:val="nil"/>
            </w:tcBorders>
            <w:tcMar>
              <w:top w:w="72" w:type="dxa"/>
              <w:left w:w="0" w:type="dxa"/>
              <w:bottom w:w="72" w:type="dxa"/>
              <w:right w:w="0" w:type="dxa"/>
            </w:tcMar>
            <w:vAlign w:val="center"/>
            <w:hideMark/>
          </w:tcPr>
          <w:tbl>
            <w:tblPr>
              <w:tblW w:w="4975" w:type="pct"/>
              <w:tblBorders>
                <w:top w:val="single" w:sz="6" w:space="0" w:color="000000"/>
                <w:bottom w:val="single" w:sz="6" w:space="0" w:color="000000"/>
              </w:tblBorders>
              <w:tblCellMar>
                <w:top w:w="15" w:type="dxa"/>
                <w:left w:w="15" w:type="dxa"/>
                <w:bottom w:w="15" w:type="dxa"/>
                <w:right w:w="15" w:type="dxa"/>
              </w:tblCellMar>
              <w:tblLook w:val="04A0"/>
            </w:tblPr>
            <w:tblGrid>
              <w:gridCol w:w="1888"/>
              <w:gridCol w:w="1625"/>
              <w:gridCol w:w="1622"/>
              <w:gridCol w:w="1622"/>
              <w:gridCol w:w="1256"/>
              <w:gridCol w:w="1264"/>
            </w:tblGrid>
            <w:tr w:rsidR="009F21E8" w:rsidRPr="00576140" w:rsidTr="009F21E8">
              <w:trPr>
                <w:tblHeader/>
              </w:trPr>
              <w:tc>
                <w:tcPr>
                  <w:tcW w:w="0" w:type="auto"/>
                  <w:tcBorders>
                    <w:top w:val="nil"/>
                    <w:bottom w:val="nil"/>
                    <w:right w:val="nil"/>
                  </w:tcBorders>
                  <w:tcMar>
                    <w:top w:w="72" w:type="dxa"/>
                    <w:left w:w="0" w:type="dxa"/>
                    <w:bottom w:w="72" w:type="dxa"/>
                    <w:right w:w="0" w:type="dxa"/>
                  </w:tcMar>
                  <w:vAlign w:val="center"/>
                  <w:hideMark/>
                </w:tcPr>
                <w:p w:rsidR="00576140" w:rsidRPr="00576140" w:rsidRDefault="00576140" w:rsidP="00576140">
                  <w:pPr>
                    <w:spacing w:before="24" w:after="360" w:line="240" w:lineRule="auto"/>
                    <w:rPr>
                      <w:rFonts w:ascii="Arial" w:eastAsia="Times New Roman" w:hAnsi="Arial" w:cs="Arial"/>
                      <w:b/>
                      <w:bCs/>
                      <w:color w:val="000000"/>
                      <w:sz w:val="18"/>
                      <w:szCs w:val="18"/>
                    </w:rPr>
                  </w:pPr>
                  <w:r w:rsidRPr="00576140">
                    <w:rPr>
                      <w:rFonts w:ascii="Arial" w:eastAsia="Times New Roman" w:hAnsi="Arial" w:cs="Arial"/>
                      <w:b/>
                      <w:bCs/>
                      <w:color w:val="000000"/>
                      <w:sz w:val="18"/>
                      <w:szCs w:val="18"/>
                    </w:rPr>
                    <w:t> </w:t>
                  </w:r>
                </w:p>
              </w:tc>
              <w:tc>
                <w:tcPr>
                  <w:tcW w:w="876"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before="24" w:after="360" w:line="240" w:lineRule="auto"/>
                    <w:rPr>
                      <w:rFonts w:ascii="Arial" w:eastAsia="Times New Roman" w:hAnsi="Arial" w:cs="Arial"/>
                      <w:b/>
                      <w:bCs/>
                      <w:color w:val="000000"/>
                      <w:sz w:val="18"/>
                      <w:szCs w:val="18"/>
                    </w:rPr>
                  </w:pPr>
                  <w:r w:rsidRPr="00576140">
                    <w:rPr>
                      <w:rFonts w:ascii="Arial" w:eastAsia="Times New Roman" w:hAnsi="Arial" w:cs="Arial"/>
                      <w:b/>
                      <w:bCs/>
                      <w:color w:val="000000"/>
                      <w:sz w:val="18"/>
                      <w:szCs w:val="18"/>
                    </w:rPr>
                    <w:t>Uses it</w:t>
                  </w:r>
                  <w:hyperlink r:id="rId37" w:anchor="t2n1" w:history="1">
                    <w:r w:rsidRPr="00576140">
                      <w:rPr>
                        <w:rFonts w:ascii="Arial" w:eastAsia="Times New Roman" w:hAnsi="Arial" w:cs="Arial"/>
                        <w:b/>
                        <w:bCs/>
                        <w:color w:val="007E8A"/>
                        <w:sz w:val="18"/>
                        <w:szCs w:val="18"/>
                        <w:u w:val="single"/>
                      </w:rPr>
                      <w:t>*</w:t>
                    </w:r>
                  </w:hyperlink>
                </w:p>
              </w:tc>
              <w:tc>
                <w:tcPr>
                  <w:tcW w:w="874"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before="24" w:after="360" w:line="240" w:lineRule="auto"/>
                    <w:rPr>
                      <w:rFonts w:ascii="Arial" w:eastAsia="Times New Roman" w:hAnsi="Arial" w:cs="Arial"/>
                      <w:b/>
                      <w:bCs/>
                      <w:color w:val="000000"/>
                      <w:sz w:val="18"/>
                      <w:szCs w:val="18"/>
                    </w:rPr>
                  </w:pPr>
                  <w:r w:rsidRPr="00576140">
                    <w:rPr>
                      <w:rFonts w:ascii="Arial" w:eastAsia="Times New Roman" w:hAnsi="Arial" w:cs="Arial"/>
                      <w:b/>
                      <w:bCs/>
                      <w:color w:val="000000"/>
                      <w:sz w:val="18"/>
                      <w:szCs w:val="18"/>
                    </w:rPr>
                    <w:t>Has heard of it</w:t>
                  </w:r>
                </w:p>
              </w:tc>
              <w:tc>
                <w:tcPr>
                  <w:tcW w:w="874"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before="24" w:after="360" w:line="240" w:lineRule="auto"/>
                    <w:rPr>
                      <w:rFonts w:ascii="Arial" w:eastAsia="Times New Roman" w:hAnsi="Arial" w:cs="Arial"/>
                      <w:b/>
                      <w:bCs/>
                      <w:color w:val="000000"/>
                      <w:sz w:val="18"/>
                      <w:szCs w:val="18"/>
                    </w:rPr>
                  </w:pPr>
                  <w:r w:rsidRPr="00576140">
                    <w:rPr>
                      <w:rFonts w:ascii="Arial" w:eastAsia="Times New Roman" w:hAnsi="Arial" w:cs="Arial"/>
                      <w:b/>
                      <w:bCs/>
                      <w:color w:val="000000"/>
                      <w:sz w:val="18"/>
                      <w:szCs w:val="18"/>
                    </w:rPr>
                    <w:t>Has never used it</w:t>
                  </w:r>
                </w:p>
              </w:tc>
              <w:tc>
                <w:tcPr>
                  <w:tcW w:w="677"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before="24" w:after="360" w:line="240" w:lineRule="auto"/>
                    <w:rPr>
                      <w:rFonts w:ascii="Arial" w:eastAsia="Times New Roman" w:hAnsi="Arial" w:cs="Arial"/>
                      <w:b/>
                      <w:bCs/>
                      <w:color w:val="000000"/>
                      <w:sz w:val="18"/>
                      <w:szCs w:val="18"/>
                    </w:rPr>
                  </w:pPr>
                  <w:r w:rsidRPr="00576140">
                    <w:rPr>
                      <w:rFonts w:ascii="Arial" w:eastAsia="Times New Roman" w:hAnsi="Arial" w:cs="Arial"/>
                      <w:b/>
                      <w:bCs/>
                      <w:color w:val="000000"/>
                      <w:sz w:val="18"/>
                      <w:szCs w:val="18"/>
                    </w:rPr>
                    <w:t>Tried it once, but no more</w:t>
                  </w:r>
                </w:p>
              </w:tc>
              <w:tc>
                <w:tcPr>
                  <w:tcW w:w="681"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before="24" w:after="360" w:line="240" w:lineRule="auto"/>
                    <w:rPr>
                      <w:rFonts w:ascii="Arial" w:eastAsia="Times New Roman" w:hAnsi="Arial" w:cs="Arial"/>
                      <w:b/>
                      <w:bCs/>
                      <w:color w:val="000000"/>
                      <w:sz w:val="18"/>
                      <w:szCs w:val="18"/>
                    </w:rPr>
                  </w:pPr>
                  <w:r w:rsidRPr="00576140">
                    <w:rPr>
                      <w:rFonts w:ascii="Arial" w:eastAsia="Times New Roman" w:hAnsi="Arial" w:cs="Arial"/>
                      <w:b/>
                      <w:bCs/>
                      <w:color w:val="000000"/>
                      <w:sz w:val="18"/>
                      <w:szCs w:val="18"/>
                    </w:rPr>
                    <w:t>Used to use it, no longer</w:t>
                  </w:r>
                </w:p>
              </w:tc>
            </w:tr>
            <w:tr w:rsidR="00576140" w:rsidRPr="00576140" w:rsidTr="009F21E8">
              <w:tc>
                <w:tcPr>
                  <w:tcW w:w="0" w:type="auto"/>
                  <w:gridSpan w:val="6"/>
                  <w:tcBorders>
                    <w:top w:val="nil"/>
                    <w:left w:val="single" w:sz="4" w:space="0" w:color="auto"/>
                    <w:bottom w:val="nil"/>
                    <w:right w:val="single" w:sz="4" w:space="0" w:color="auto"/>
                  </w:tcBorders>
                  <w:tcMar>
                    <w:top w:w="72" w:type="dxa"/>
                    <w:left w:w="0" w:type="dxa"/>
                    <w:bottom w:w="72" w:type="dxa"/>
                    <w:right w:w="0" w:type="dxa"/>
                  </w:tcMar>
                  <w:vAlign w:val="center"/>
                  <w:hideMark/>
                </w:tcPr>
                <w:p w:rsidR="00576140" w:rsidRPr="00576140" w:rsidRDefault="00576140" w:rsidP="00576140">
                  <w:pPr>
                    <w:spacing w:after="0" w:line="360" w:lineRule="atLeast"/>
                    <w:rPr>
                      <w:rFonts w:ascii="Arial" w:eastAsia="Times New Roman" w:hAnsi="Arial" w:cs="Arial"/>
                      <w:color w:val="000000"/>
                      <w:sz w:val="18"/>
                      <w:szCs w:val="18"/>
                    </w:rPr>
                  </w:pPr>
                </w:p>
              </w:tc>
            </w:tr>
            <w:tr w:rsidR="009F21E8" w:rsidRPr="00576140" w:rsidTr="009F21E8">
              <w:tc>
                <w:tcPr>
                  <w:tcW w:w="1018"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proofErr w:type="spellStart"/>
                  <w:r w:rsidRPr="00576140">
                    <w:rPr>
                      <w:rFonts w:ascii="Arial" w:eastAsia="Times New Roman" w:hAnsi="Arial" w:cs="Arial"/>
                      <w:color w:val="000000"/>
                      <w:sz w:val="18"/>
                      <w:szCs w:val="18"/>
                    </w:rPr>
                    <w:t>Facebook</w:t>
                  </w:r>
                  <w:proofErr w:type="spellEnd"/>
                </w:p>
              </w:tc>
              <w:tc>
                <w:tcPr>
                  <w:tcW w:w="876"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78.8 (62.8)</w:t>
                  </w:r>
                </w:p>
              </w:tc>
              <w:tc>
                <w:tcPr>
                  <w:tcW w:w="874"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99.4</w:t>
                  </w:r>
                </w:p>
              </w:tc>
              <w:tc>
                <w:tcPr>
                  <w:tcW w:w="874"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14.2</w:t>
                  </w:r>
                </w:p>
              </w:tc>
              <w:tc>
                <w:tcPr>
                  <w:tcW w:w="677"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3.6</w:t>
                  </w:r>
                </w:p>
              </w:tc>
              <w:tc>
                <w:tcPr>
                  <w:tcW w:w="681"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3.4</w:t>
                  </w:r>
                </w:p>
              </w:tc>
            </w:tr>
            <w:tr w:rsidR="009F21E8" w:rsidRPr="00576140" w:rsidTr="009F21E8">
              <w:tc>
                <w:tcPr>
                  <w:tcW w:w="1018"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MySpace</w:t>
                  </w:r>
                </w:p>
              </w:tc>
              <w:tc>
                <w:tcPr>
                  <w:tcW w:w="876"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54.6 (38.4)</w:t>
                  </w:r>
                </w:p>
              </w:tc>
              <w:tc>
                <w:tcPr>
                  <w:tcW w:w="874"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99.5</w:t>
                  </w:r>
                </w:p>
              </w:tc>
              <w:tc>
                <w:tcPr>
                  <w:tcW w:w="874"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20.8</w:t>
                  </w:r>
                </w:p>
              </w:tc>
              <w:tc>
                <w:tcPr>
                  <w:tcW w:w="677"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9.4</w:t>
                  </w:r>
                </w:p>
              </w:tc>
              <w:tc>
                <w:tcPr>
                  <w:tcW w:w="681"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15.2</w:t>
                  </w:r>
                </w:p>
              </w:tc>
            </w:tr>
            <w:tr w:rsidR="009F21E8" w:rsidRPr="00576140" w:rsidTr="009F21E8">
              <w:tc>
                <w:tcPr>
                  <w:tcW w:w="1018"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proofErr w:type="spellStart"/>
                  <w:r w:rsidRPr="00576140">
                    <w:rPr>
                      <w:rFonts w:ascii="Arial" w:eastAsia="Times New Roman" w:hAnsi="Arial" w:cs="Arial"/>
                      <w:color w:val="000000"/>
                      <w:sz w:val="18"/>
                      <w:szCs w:val="18"/>
                    </w:rPr>
                    <w:t>Xanga</w:t>
                  </w:r>
                  <w:proofErr w:type="spellEnd"/>
                </w:p>
              </w:tc>
              <w:tc>
                <w:tcPr>
                  <w:tcW w:w="876"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6.2 (1.9)</w:t>
                  </w:r>
                </w:p>
              </w:tc>
              <w:tc>
                <w:tcPr>
                  <w:tcW w:w="874"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76.4</w:t>
                  </w:r>
                </w:p>
              </w:tc>
              <w:tc>
                <w:tcPr>
                  <w:tcW w:w="874"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61.7</w:t>
                  </w:r>
                </w:p>
              </w:tc>
              <w:tc>
                <w:tcPr>
                  <w:tcW w:w="677"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11.8</w:t>
                  </w:r>
                </w:p>
              </w:tc>
              <w:tc>
                <w:tcPr>
                  <w:tcW w:w="681"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20.3</w:t>
                  </w:r>
                </w:p>
              </w:tc>
            </w:tr>
            <w:tr w:rsidR="009F21E8" w:rsidRPr="00576140" w:rsidTr="009F21E8">
              <w:tc>
                <w:tcPr>
                  <w:tcW w:w="1018"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proofErr w:type="spellStart"/>
                  <w:r w:rsidRPr="00576140">
                    <w:rPr>
                      <w:rFonts w:ascii="Arial" w:eastAsia="Times New Roman" w:hAnsi="Arial" w:cs="Arial"/>
                      <w:color w:val="000000"/>
                      <w:sz w:val="18"/>
                      <w:szCs w:val="18"/>
                    </w:rPr>
                    <w:t>Friendster</w:t>
                  </w:r>
                  <w:proofErr w:type="spellEnd"/>
                </w:p>
              </w:tc>
              <w:tc>
                <w:tcPr>
                  <w:tcW w:w="876"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3.3 (1.0)</w:t>
                  </w:r>
                </w:p>
              </w:tc>
              <w:tc>
                <w:tcPr>
                  <w:tcW w:w="874"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43.3</w:t>
                  </w:r>
                </w:p>
              </w:tc>
              <w:tc>
                <w:tcPr>
                  <w:tcW w:w="874"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84.7</w:t>
                  </w:r>
                </w:p>
              </w:tc>
              <w:tc>
                <w:tcPr>
                  <w:tcW w:w="677"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5.6</w:t>
                  </w:r>
                </w:p>
              </w:tc>
              <w:tc>
                <w:tcPr>
                  <w:tcW w:w="681"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6.4</w:t>
                  </w:r>
                </w:p>
              </w:tc>
            </w:tr>
            <w:tr w:rsidR="009F21E8" w:rsidRPr="00576140" w:rsidTr="009F21E8">
              <w:tc>
                <w:tcPr>
                  <w:tcW w:w="1018"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proofErr w:type="spellStart"/>
                  <w:r w:rsidRPr="00576140">
                    <w:rPr>
                      <w:rFonts w:ascii="Arial" w:eastAsia="Times New Roman" w:hAnsi="Arial" w:cs="Arial"/>
                      <w:color w:val="000000"/>
                      <w:sz w:val="18"/>
                      <w:szCs w:val="18"/>
                    </w:rPr>
                    <w:t>Orkut</w:t>
                  </w:r>
                  <w:proofErr w:type="spellEnd"/>
                </w:p>
              </w:tc>
              <w:tc>
                <w:tcPr>
                  <w:tcW w:w="876"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1.6 (.6)</w:t>
                  </w:r>
                </w:p>
              </w:tc>
              <w:tc>
                <w:tcPr>
                  <w:tcW w:w="874"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5.8</w:t>
                  </w:r>
                </w:p>
              </w:tc>
              <w:tc>
                <w:tcPr>
                  <w:tcW w:w="874"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97.1</w:t>
                  </w:r>
                </w:p>
              </w:tc>
              <w:tc>
                <w:tcPr>
                  <w:tcW w:w="677"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.5</w:t>
                  </w:r>
                </w:p>
              </w:tc>
              <w:tc>
                <w:tcPr>
                  <w:tcW w:w="681"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.8</w:t>
                  </w:r>
                </w:p>
              </w:tc>
            </w:tr>
            <w:tr w:rsidR="009F21E8" w:rsidRPr="00576140" w:rsidTr="009F21E8">
              <w:trPr>
                <w:trHeight w:val="23"/>
              </w:trPr>
              <w:tc>
                <w:tcPr>
                  <w:tcW w:w="1018"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proofErr w:type="spellStart"/>
                  <w:r w:rsidRPr="00576140">
                    <w:rPr>
                      <w:rFonts w:ascii="Arial" w:eastAsia="Times New Roman" w:hAnsi="Arial" w:cs="Arial"/>
                      <w:color w:val="000000"/>
                      <w:sz w:val="18"/>
                      <w:szCs w:val="18"/>
                    </w:rPr>
                    <w:t>Bebo</w:t>
                  </w:r>
                  <w:proofErr w:type="spellEnd"/>
                </w:p>
              </w:tc>
              <w:tc>
                <w:tcPr>
                  <w:tcW w:w="876"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.6 (0)</w:t>
                  </w:r>
                </w:p>
              </w:tc>
              <w:tc>
                <w:tcPr>
                  <w:tcW w:w="874"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9.6</w:t>
                  </w:r>
                </w:p>
              </w:tc>
              <w:tc>
                <w:tcPr>
                  <w:tcW w:w="874"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95.4</w:t>
                  </w:r>
                </w:p>
              </w:tc>
              <w:tc>
                <w:tcPr>
                  <w:tcW w:w="677"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2.8</w:t>
                  </w:r>
                </w:p>
              </w:tc>
              <w:tc>
                <w:tcPr>
                  <w:tcW w:w="681" w:type="pct"/>
                  <w:tcBorders>
                    <w:top w:val="nil"/>
                    <w:left w:val="nil"/>
                    <w:bottom w:val="nil"/>
                    <w:right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r w:rsidRPr="00576140">
                    <w:rPr>
                      <w:rFonts w:ascii="Arial" w:eastAsia="Times New Roman" w:hAnsi="Arial" w:cs="Arial"/>
                      <w:color w:val="000000"/>
                      <w:sz w:val="18"/>
                      <w:szCs w:val="18"/>
                    </w:rPr>
                    <w:t>1.2</w:t>
                  </w:r>
                </w:p>
              </w:tc>
            </w:tr>
          </w:tbl>
          <w:p w:rsidR="00576140" w:rsidRPr="00576140" w:rsidRDefault="00576140" w:rsidP="00576140">
            <w:pPr>
              <w:spacing w:after="0" w:line="288" w:lineRule="auto"/>
              <w:rPr>
                <w:rFonts w:ascii="Arial" w:eastAsia="Times New Roman" w:hAnsi="Arial" w:cs="Arial"/>
                <w:color w:val="000000"/>
                <w:sz w:val="18"/>
                <w:szCs w:val="18"/>
              </w:rPr>
            </w:pPr>
          </w:p>
        </w:tc>
        <w:tc>
          <w:tcPr>
            <w:tcW w:w="0" w:type="auto"/>
            <w:tcBorders>
              <w:top w:val="nil"/>
              <w:bottom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p>
        </w:tc>
        <w:tc>
          <w:tcPr>
            <w:tcW w:w="0" w:type="auto"/>
            <w:tcBorders>
              <w:top w:val="nil"/>
              <w:bottom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p>
        </w:tc>
        <w:tc>
          <w:tcPr>
            <w:tcW w:w="0" w:type="auto"/>
            <w:tcBorders>
              <w:top w:val="nil"/>
              <w:bottom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p>
        </w:tc>
        <w:tc>
          <w:tcPr>
            <w:tcW w:w="0" w:type="auto"/>
            <w:tcBorders>
              <w:top w:val="nil"/>
              <w:bottom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p>
        </w:tc>
        <w:tc>
          <w:tcPr>
            <w:tcW w:w="0" w:type="auto"/>
            <w:tcBorders>
              <w:top w:val="nil"/>
              <w:bottom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p>
        </w:tc>
      </w:tr>
      <w:tr w:rsidR="00576140" w:rsidRPr="00576140" w:rsidTr="009F21E8">
        <w:tc>
          <w:tcPr>
            <w:tcW w:w="0" w:type="auto"/>
            <w:tcBorders>
              <w:top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p>
        </w:tc>
        <w:tc>
          <w:tcPr>
            <w:tcW w:w="0" w:type="auto"/>
            <w:tcBorders>
              <w:top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p>
        </w:tc>
        <w:tc>
          <w:tcPr>
            <w:tcW w:w="0" w:type="auto"/>
            <w:tcBorders>
              <w:top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p>
        </w:tc>
        <w:tc>
          <w:tcPr>
            <w:tcW w:w="0" w:type="auto"/>
            <w:tcBorders>
              <w:top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p>
        </w:tc>
        <w:tc>
          <w:tcPr>
            <w:tcW w:w="0" w:type="auto"/>
            <w:tcBorders>
              <w:top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p>
        </w:tc>
        <w:tc>
          <w:tcPr>
            <w:tcW w:w="0" w:type="auto"/>
            <w:tcBorders>
              <w:top w:val="nil"/>
            </w:tcBorders>
            <w:tcMar>
              <w:top w:w="72" w:type="dxa"/>
              <w:left w:w="0" w:type="dxa"/>
              <w:bottom w:w="72" w:type="dxa"/>
              <w:right w:w="0" w:type="dxa"/>
            </w:tcMar>
            <w:vAlign w:val="center"/>
            <w:hideMark/>
          </w:tcPr>
          <w:p w:rsidR="00576140" w:rsidRPr="00576140" w:rsidRDefault="00576140" w:rsidP="00576140">
            <w:pPr>
              <w:spacing w:after="0" w:line="288" w:lineRule="auto"/>
              <w:rPr>
                <w:rFonts w:ascii="Arial" w:eastAsia="Times New Roman" w:hAnsi="Arial" w:cs="Arial"/>
                <w:color w:val="000000"/>
                <w:sz w:val="18"/>
                <w:szCs w:val="18"/>
              </w:rPr>
            </w:pPr>
          </w:p>
        </w:tc>
      </w:tr>
    </w:tbl>
    <w:p w:rsidR="002F62BC" w:rsidRDefault="002F62BC" w:rsidP="00576140">
      <w:pPr>
        <w:spacing w:line="360" w:lineRule="atLeast"/>
        <w:rPr>
          <w:rFonts w:ascii="Arial" w:eastAsia="Times New Roman" w:hAnsi="Arial" w:cs="Arial"/>
          <w:color w:val="000000"/>
          <w:sz w:val="18"/>
          <w:szCs w:val="18"/>
          <w:lang/>
        </w:rPr>
      </w:pPr>
    </w:p>
    <w:p w:rsidR="002F62BC" w:rsidRDefault="002F62BC" w:rsidP="00576140">
      <w:pPr>
        <w:spacing w:line="360" w:lineRule="atLeast"/>
        <w:rPr>
          <w:rFonts w:ascii="Arial" w:eastAsia="Times New Roman" w:hAnsi="Arial" w:cs="Arial"/>
          <w:color w:val="000000"/>
          <w:sz w:val="18"/>
          <w:szCs w:val="18"/>
          <w:lang/>
        </w:rPr>
      </w:pPr>
    </w:p>
    <w:p w:rsidR="002F62BC" w:rsidRDefault="002F62BC" w:rsidP="00576140">
      <w:pPr>
        <w:spacing w:line="360" w:lineRule="atLeast"/>
        <w:rPr>
          <w:rFonts w:ascii="Arial" w:eastAsia="Times New Roman" w:hAnsi="Arial" w:cs="Arial"/>
          <w:color w:val="000000"/>
          <w:sz w:val="18"/>
          <w:szCs w:val="18"/>
          <w:lang/>
        </w:rPr>
      </w:pPr>
    </w:p>
    <w:p w:rsidR="002F62BC" w:rsidRDefault="002F62BC" w:rsidP="00576140">
      <w:pPr>
        <w:spacing w:line="360" w:lineRule="atLeast"/>
        <w:rPr>
          <w:rFonts w:ascii="Arial" w:eastAsia="Times New Roman" w:hAnsi="Arial" w:cs="Arial"/>
          <w:color w:val="000000"/>
          <w:sz w:val="18"/>
          <w:szCs w:val="18"/>
          <w:lang/>
        </w:rPr>
      </w:pPr>
    </w:p>
    <w:p w:rsidR="002F62BC" w:rsidRDefault="002F62BC" w:rsidP="00576140">
      <w:pPr>
        <w:spacing w:line="360" w:lineRule="atLeast"/>
        <w:rPr>
          <w:rFonts w:ascii="Arial" w:eastAsia="Times New Roman" w:hAnsi="Arial" w:cs="Arial"/>
          <w:color w:val="000000"/>
          <w:sz w:val="18"/>
          <w:szCs w:val="18"/>
          <w:lang/>
        </w:rPr>
      </w:pPr>
    </w:p>
    <w:p w:rsidR="002F62BC" w:rsidRDefault="002F62BC" w:rsidP="00576140">
      <w:pPr>
        <w:spacing w:line="360" w:lineRule="atLeast"/>
        <w:rPr>
          <w:rFonts w:ascii="Arial" w:eastAsia="Times New Roman" w:hAnsi="Arial" w:cs="Arial"/>
          <w:color w:val="000000"/>
          <w:sz w:val="18"/>
          <w:szCs w:val="18"/>
          <w:lang/>
        </w:rPr>
      </w:pPr>
    </w:p>
    <w:p w:rsidR="002F62BC" w:rsidRDefault="002F62BC" w:rsidP="00576140">
      <w:pPr>
        <w:spacing w:line="360" w:lineRule="atLeast"/>
        <w:rPr>
          <w:rFonts w:ascii="Arial" w:eastAsia="Times New Roman" w:hAnsi="Arial" w:cs="Arial"/>
          <w:color w:val="000000"/>
          <w:sz w:val="18"/>
          <w:szCs w:val="18"/>
          <w:lang/>
        </w:rPr>
      </w:pPr>
    </w:p>
    <w:p w:rsidR="002F62BC" w:rsidRDefault="002F62BC" w:rsidP="00576140">
      <w:pPr>
        <w:spacing w:line="360" w:lineRule="atLeast"/>
        <w:rPr>
          <w:rFonts w:ascii="Arial" w:eastAsia="Times New Roman" w:hAnsi="Arial" w:cs="Arial"/>
          <w:color w:val="000000"/>
          <w:sz w:val="18"/>
          <w:szCs w:val="18"/>
          <w:lang/>
        </w:rPr>
      </w:pPr>
    </w:p>
    <w:p w:rsidR="002F62BC" w:rsidRDefault="002F62BC" w:rsidP="00576140">
      <w:pPr>
        <w:spacing w:line="360" w:lineRule="atLeast"/>
        <w:rPr>
          <w:rFonts w:ascii="Arial" w:eastAsia="Times New Roman" w:hAnsi="Arial" w:cs="Arial"/>
          <w:color w:val="000000"/>
          <w:sz w:val="18"/>
          <w:szCs w:val="18"/>
          <w:lang/>
        </w:rPr>
      </w:pPr>
    </w:p>
    <w:p w:rsidR="00576140" w:rsidRPr="00576140" w:rsidRDefault="00576140" w:rsidP="00576140">
      <w:pPr>
        <w:spacing w:line="360" w:lineRule="atLeast"/>
        <w:rPr>
          <w:rFonts w:ascii="Arial" w:eastAsia="Times New Roman" w:hAnsi="Arial" w:cs="Arial"/>
          <w:b/>
          <w:color w:val="000000"/>
          <w:sz w:val="18"/>
          <w:szCs w:val="18"/>
          <w:lang/>
        </w:rPr>
      </w:pPr>
      <w:hyperlink r:id="rId38" w:anchor="t3" w:tooltip="Link to table" w:history="1">
        <w:r w:rsidRPr="00576140">
          <w:rPr>
            <w:rFonts w:ascii="Arial" w:eastAsia="Times New Roman" w:hAnsi="Arial" w:cs="Arial"/>
            <w:b/>
            <w:color w:val="007E8A"/>
            <w:sz w:val="18"/>
            <w:szCs w:val="18"/>
            <w:u w:val="single"/>
            <w:lang/>
          </w:rPr>
          <w:t>Table 3</w:t>
        </w:r>
      </w:hyperlink>
      <w:r w:rsidRPr="00576140">
        <w:rPr>
          <w:rFonts w:ascii="Arial" w:eastAsia="Times New Roman" w:hAnsi="Arial" w:cs="Arial"/>
          <w:b/>
          <w:color w:val="000000"/>
          <w:sz w:val="18"/>
          <w:szCs w:val="18"/>
          <w:lang/>
        </w:rPr>
        <w:t xml:space="preserve"> reports the demographic breakdown of SNS users, first in the aggregate (second column) and then by site (columns 3–6). </w:t>
      </w:r>
      <w:proofErr w:type="spellStart"/>
      <w:r w:rsidRPr="00576140">
        <w:rPr>
          <w:rFonts w:ascii="Arial" w:eastAsia="Times New Roman" w:hAnsi="Arial" w:cs="Arial"/>
          <w:b/>
          <w:color w:val="000000"/>
          <w:sz w:val="18"/>
          <w:szCs w:val="18"/>
          <w:lang/>
        </w:rPr>
        <w:t>Orkut</w:t>
      </w:r>
      <w:proofErr w:type="spellEnd"/>
      <w:r w:rsidRPr="00576140">
        <w:rPr>
          <w:rFonts w:ascii="Arial" w:eastAsia="Times New Roman" w:hAnsi="Arial" w:cs="Arial"/>
          <w:b/>
          <w:color w:val="000000"/>
          <w:sz w:val="18"/>
          <w:szCs w:val="18"/>
          <w:lang/>
        </w:rPr>
        <w:t xml:space="preserve"> </w:t>
      </w:r>
    </w:p>
    <w:tbl>
      <w:tblPr>
        <w:tblW w:w="4975" w:type="pct"/>
        <w:tblCellMar>
          <w:top w:w="15" w:type="dxa"/>
          <w:left w:w="15" w:type="dxa"/>
          <w:bottom w:w="15" w:type="dxa"/>
          <w:right w:w="15" w:type="dxa"/>
        </w:tblCellMar>
        <w:tblLook w:val="04A0"/>
      </w:tblPr>
      <w:tblGrid>
        <w:gridCol w:w="2541"/>
        <w:gridCol w:w="974"/>
        <w:gridCol w:w="820"/>
        <w:gridCol w:w="1318"/>
        <w:gridCol w:w="1275"/>
        <w:gridCol w:w="1006"/>
        <w:gridCol w:w="1379"/>
      </w:tblGrid>
      <w:tr w:rsidR="009F21E8" w:rsidRPr="009F21E8" w:rsidTr="009F21E8">
        <w:trPr>
          <w:tblHeader/>
        </w:trPr>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 </w:t>
            </w:r>
          </w:p>
        </w:tc>
        <w:tc>
          <w:tcPr>
            <w:tcW w:w="0" w:type="auto"/>
            <w:tcMar>
              <w:top w:w="72" w:type="dxa"/>
              <w:left w:w="0" w:type="dxa"/>
              <w:bottom w:w="72" w:type="dxa"/>
              <w:right w:w="0" w:type="dxa"/>
            </w:tcMar>
            <w:vAlign w:val="center"/>
            <w:hideMark/>
          </w:tcPr>
          <w:p w:rsidR="009F21E8" w:rsidRPr="009F21E8" w:rsidRDefault="009F21E8" w:rsidP="009F21E8">
            <w:pPr>
              <w:pStyle w:val="NoSpacing"/>
              <w:rPr>
                <w:b/>
              </w:rPr>
            </w:pPr>
            <w:r w:rsidRPr="009F21E8">
              <w:rPr>
                <w:b/>
              </w:rPr>
              <w:t>Full sample</w:t>
            </w:r>
          </w:p>
        </w:tc>
        <w:tc>
          <w:tcPr>
            <w:tcW w:w="0" w:type="auto"/>
            <w:tcMar>
              <w:top w:w="72" w:type="dxa"/>
              <w:left w:w="0" w:type="dxa"/>
              <w:bottom w:w="72" w:type="dxa"/>
              <w:right w:w="0" w:type="dxa"/>
            </w:tcMar>
            <w:vAlign w:val="center"/>
            <w:hideMark/>
          </w:tcPr>
          <w:p w:rsidR="009F21E8" w:rsidRPr="009F21E8" w:rsidRDefault="009F21E8" w:rsidP="009F21E8">
            <w:pPr>
              <w:pStyle w:val="NoSpacing"/>
              <w:rPr>
                <w:b/>
              </w:rPr>
            </w:pPr>
            <w:r w:rsidRPr="009F21E8">
              <w:rPr>
                <w:b/>
              </w:rPr>
              <w:t>SNS users</w:t>
            </w:r>
          </w:p>
        </w:tc>
        <w:tc>
          <w:tcPr>
            <w:tcW w:w="0" w:type="auto"/>
            <w:tcMar>
              <w:top w:w="72" w:type="dxa"/>
              <w:left w:w="0" w:type="dxa"/>
              <w:bottom w:w="72" w:type="dxa"/>
              <w:right w:w="0" w:type="dxa"/>
            </w:tcMar>
            <w:vAlign w:val="center"/>
            <w:hideMark/>
          </w:tcPr>
          <w:p w:rsidR="009F21E8" w:rsidRPr="009F21E8" w:rsidRDefault="009F21E8" w:rsidP="009F21E8">
            <w:pPr>
              <w:pStyle w:val="NoSpacing"/>
              <w:rPr>
                <w:b/>
              </w:rPr>
            </w:pPr>
            <w:proofErr w:type="spellStart"/>
            <w:r w:rsidRPr="009F21E8">
              <w:rPr>
                <w:b/>
              </w:rPr>
              <w:t>Facebook</w:t>
            </w:r>
            <w:proofErr w:type="spellEnd"/>
            <w:r w:rsidRPr="009F21E8">
              <w:rPr>
                <w:b/>
              </w:rPr>
              <w:t xml:space="preserve"> users</w:t>
            </w:r>
          </w:p>
        </w:tc>
        <w:tc>
          <w:tcPr>
            <w:tcW w:w="0" w:type="auto"/>
            <w:tcMar>
              <w:top w:w="72" w:type="dxa"/>
              <w:left w:w="0" w:type="dxa"/>
              <w:bottom w:w="72" w:type="dxa"/>
              <w:right w:w="0" w:type="dxa"/>
            </w:tcMar>
            <w:vAlign w:val="center"/>
            <w:hideMark/>
          </w:tcPr>
          <w:p w:rsidR="009F21E8" w:rsidRPr="009F21E8" w:rsidRDefault="009F21E8" w:rsidP="009F21E8">
            <w:pPr>
              <w:pStyle w:val="NoSpacing"/>
              <w:rPr>
                <w:b/>
              </w:rPr>
            </w:pPr>
            <w:r w:rsidRPr="009F21E8">
              <w:rPr>
                <w:b/>
              </w:rPr>
              <w:t>MySpace users</w:t>
            </w:r>
          </w:p>
        </w:tc>
        <w:tc>
          <w:tcPr>
            <w:tcW w:w="0" w:type="auto"/>
            <w:tcMar>
              <w:top w:w="72" w:type="dxa"/>
              <w:left w:w="0" w:type="dxa"/>
              <w:bottom w:w="72" w:type="dxa"/>
              <w:right w:w="0" w:type="dxa"/>
            </w:tcMar>
            <w:vAlign w:val="center"/>
            <w:hideMark/>
          </w:tcPr>
          <w:p w:rsidR="009F21E8" w:rsidRPr="009F21E8" w:rsidRDefault="009F21E8" w:rsidP="009F21E8">
            <w:pPr>
              <w:pStyle w:val="NoSpacing"/>
              <w:rPr>
                <w:b/>
              </w:rPr>
            </w:pPr>
            <w:proofErr w:type="spellStart"/>
            <w:r w:rsidRPr="009F21E8">
              <w:rPr>
                <w:b/>
              </w:rPr>
              <w:t>Xanga</w:t>
            </w:r>
            <w:proofErr w:type="spellEnd"/>
            <w:r w:rsidRPr="009F21E8">
              <w:rPr>
                <w:b/>
              </w:rPr>
              <w:t xml:space="preserve"> users</w:t>
            </w:r>
          </w:p>
        </w:tc>
        <w:tc>
          <w:tcPr>
            <w:tcW w:w="0" w:type="auto"/>
            <w:tcMar>
              <w:top w:w="72" w:type="dxa"/>
              <w:left w:w="0" w:type="dxa"/>
              <w:bottom w:w="72" w:type="dxa"/>
              <w:right w:w="0" w:type="dxa"/>
            </w:tcMar>
            <w:vAlign w:val="center"/>
            <w:hideMark/>
          </w:tcPr>
          <w:p w:rsidR="009F21E8" w:rsidRPr="009F21E8" w:rsidRDefault="009F21E8" w:rsidP="009F21E8">
            <w:pPr>
              <w:pStyle w:val="NoSpacing"/>
              <w:rPr>
                <w:b/>
              </w:rPr>
            </w:pPr>
            <w:proofErr w:type="spellStart"/>
            <w:r w:rsidRPr="009F21E8">
              <w:rPr>
                <w:b/>
              </w:rPr>
              <w:t>Friendster</w:t>
            </w:r>
            <w:proofErr w:type="spellEnd"/>
            <w:r w:rsidRPr="009F21E8">
              <w:rPr>
                <w:b/>
              </w:rPr>
              <w:t xml:space="preserve"> users</w:t>
            </w:r>
          </w:p>
        </w:tc>
      </w:tr>
      <w:tr w:rsidR="009F21E8" w:rsidRPr="009F21E8" w:rsidTr="009F21E8">
        <w:tc>
          <w:tcPr>
            <w:tcW w:w="0" w:type="auto"/>
            <w:tcMar>
              <w:top w:w="72" w:type="dxa"/>
              <w:left w:w="0" w:type="dxa"/>
              <w:bottom w:w="72" w:type="dxa"/>
              <w:right w:w="0" w:type="dxa"/>
            </w:tcMar>
            <w:vAlign w:val="center"/>
            <w:hideMark/>
          </w:tcPr>
          <w:p w:rsidR="009F21E8" w:rsidRPr="009F21E8" w:rsidRDefault="009F21E8" w:rsidP="009F21E8">
            <w:pPr>
              <w:pStyle w:val="NoSpacing"/>
              <w:rPr>
                <w:b/>
              </w:rPr>
            </w:pPr>
            <w:r w:rsidRPr="009F21E8">
              <w:rPr>
                <w:b/>
              </w:rPr>
              <w:t>Women</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55.8</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56.9</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56.3</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60.4</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56.9</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60.0</w:t>
            </w:r>
          </w:p>
        </w:tc>
      </w:tr>
      <w:tr w:rsidR="009F21E8" w:rsidRPr="009F21E8" w:rsidTr="009F21E8">
        <w:tc>
          <w:tcPr>
            <w:tcW w:w="0" w:type="auto"/>
            <w:gridSpan w:val="7"/>
            <w:tcMar>
              <w:top w:w="72" w:type="dxa"/>
              <w:left w:w="0" w:type="dxa"/>
              <w:bottom w:w="72" w:type="dxa"/>
              <w:right w:w="0" w:type="dxa"/>
            </w:tcMar>
            <w:vAlign w:val="center"/>
            <w:hideMark/>
          </w:tcPr>
          <w:p w:rsidR="009F21E8" w:rsidRPr="009F21E8" w:rsidRDefault="009F21E8" w:rsidP="009F21E8">
            <w:pPr>
              <w:pStyle w:val="NoSpacing"/>
              <w:rPr>
                <w:b/>
              </w:rPr>
            </w:pPr>
            <w:r w:rsidRPr="009F21E8">
              <w:rPr>
                <w:b/>
              </w:rPr>
              <w:t>Age</w:t>
            </w:r>
          </w:p>
        </w:tc>
      </w:tr>
      <w:tr w:rsidR="009F21E8" w:rsidRPr="009F21E8" w:rsidTr="009F21E8">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 18</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64.8</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65.3</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66.1</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65.9</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61.5</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68.6</w:t>
            </w:r>
          </w:p>
        </w:tc>
      </w:tr>
      <w:tr w:rsidR="009F21E8" w:rsidRPr="009F21E8" w:rsidTr="009F21E8">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 19</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32.2</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31.6</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31.5</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30.4</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36.9</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28.6</w:t>
            </w:r>
          </w:p>
        </w:tc>
      </w:tr>
      <w:tr w:rsidR="009F21E8" w:rsidRPr="009F21E8" w:rsidTr="009F21E8">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 20–29</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3.0</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3.1</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2.4</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3.6</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1.5</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2.8</w:t>
            </w:r>
          </w:p>
        </w:tc>
      </w:tr>
      <w:tr w:rsidR="009F21E8" w:rsidRPr="009F21E8" w:rsidTr="009F21E8">
        <w:tc>
          <w:tcPr>
            <w:tcW w:w="0" w:type="auto"/>
            <w:gridSpan w:val="7"/>
            <w:tcMar>
              <w:top w:w="72" w:type="dxa"/>
              <w:left w:w="0" w:type="dxa"/>
              <w:bottom w:w="72" w:type="dxa"/>
              <w:right w:w="0" w:type="dxa"/>
            </w:tcMar>
            <w:vAlign w:val="center"/>
            <w:hideMark/>
          </w:tcPr>
          <w:p w:rsidR="009F21E8" w:rsidRPr="009F21E8" w:rsidRDefault="009F21E8" w:rsidP="009F21E8">
            <w:pPr>
              <w:pStyle w:val="NoSpacing"/>
              <w:rPr>
                <w:b/>
              </w:rPr>
            </w:pPr>
            <w:r w:rsidRPr="009F21E8">
              <w:rPr>
                <w:b/>
              </w:rPr>
              <w:t>Race and Ethnicity</w:t>
            </w:r>
          </w:p>
        </w:tc>
      </w:tr>
      <w:tr w:rsidR="009F21E8" w:rsidRPr="009F21E8" w:rsidTr="009F21E8">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 White, non-Hispanic</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42.7</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43.2</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44.9</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44.0</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20.6</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3.0</w:t>
            </w:r>
          </w:p>
        </w:tc>
      </w:tr>
      <w:tr w:rsidR="009F21E8" w:rsidRPr="009F21E8" w:rsidTr="009F21E8">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 Hispanic</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18.8</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18.4</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14.5</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25.2</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9.5</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3.0</w:t>
            </w:r>
          </w:p>
        </w:tc>
      </w:tr>
      <w:tr w:rsidR="009F21E8" w:rsidRPr="009F21E8" w:rsidTr="009F21E8">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 African American, non-Hispanic</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7.7</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7.4</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7.9</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8.2</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3.2</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0</w:t>
            </w:r>
          </w:p>
        </w:tc>
      </w:tr>
      <w:tr w:rsidR="009F21E8" w:rsidRPr="009F21E8" w:rsidTr="009F21E8">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 Asian American, non-Hispanic</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29.6</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29.9</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31.6</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21.3</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65.1</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93.9</w:t>
            </w:r>
          </w:p>
        </w:tc>
      </w:tr>
      <w:tr w:rsidR="009F21E8" w:rsidRPr="009F21E8" w:rsidTr="009F21E8">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 Native American, non-Hispanic</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1.2</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1.1</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1.1</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1.3</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1.6</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0</w:t>
            </w:r>
          </w:p>
        </w:tc>
      </w:tr>
      <w:tr w:rsidR="009F21E8" w:rsidRPr="009F21E8" w:rsidTr="009F21E8">
        <w:tc>
          <w:tcPr>
            <w:tcW w:w="0" w:type="auto"/>
            <w:gridSpan w:val="7"/>
            <w:tcMar>
              <w:top w:w="72" w:type="dxa"/>
              <w:left w:w="0" w:type="dxa"/>
              <w:bottom w:w="72" w:type="dxa"/>
              <w:right w:w="0" w:type="dxa"/>
            </w:tcMar>
            <w:vAlign w:val="center"/>
            <w:hideMark/>
          </w:tcPr>
          <w:p w:rsidR="009F21E8" w:rsidRPr="009F21E8" w:rsidRDefault="009F21E8" w:rsidP="009F21E8">
            <w:pPr>
              <w:pStyle w:val="NoSpacing"/>
              <w:rPr>
                <w:b/>
              </w:rPr>
            </w:pPr>
            <w:r w:rsidRPr="009F21E8">
              <w:rPr>
                <w:b/>
              </w:rPr>
              <w:t>Parent’s Highest Level of Education</w:t>
            </w:r>
          </w:p>
        </w:tc>
      </w:tr>
      <w:tr w:rsidR="009F21E8" w:rsidRPr="009F21E8" w:rsidTr="009F21E8">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 Less than high school</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7.4</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7.4</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6.0</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10.0</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1.5</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0</w:t>
            </w:r>
          </w:p>
        </w:tc>
      </w:tr>
      <w:tr w:rsidR="009F21E8" w:rsidRPr="009F21E8" w:rsidTr="009F21E8">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 High school</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19.0</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18.3</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17.6</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20.1</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16.9</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8.6</w:t>
            </w:r>
          </w:p>
        </w:tc>
      </w:tr>
      <w:tr w:rsidR="009F21E8" w:rsidRPr="009F21E8" w:rsidTr="009F21E8">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 Some college</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20.1</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19.5</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18.8</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20.9</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20.0</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11.4</w:t>
            </w:r>
          </w:p>
        </w:tc>
      </w:tr>
      <w:tr w:rsidR="009F21E8" w:rsidRPr="009F21E8" w:rsidTr="009F21E8">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 College</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34.4</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35.5</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37.4</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34.9</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33.9</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57.1</w:t>
            </w:r>
          </w:p>
        </w:tc>
      </w:tr>
      <w:tr w:rsidR="009F21E8" w:rsidRPr="009F21E8" w:rsidTr="009F21E8">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 Graduate degree</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19.1</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19.2</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20.1</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14.1</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27.7</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22.9</w:t>
            </w:r>
          </w:p>
        </w:tc>
      </w:tr>
      <w:tr w:rsidR="009F21E8" w:rsidRPr="009F21E8" w:rsidTr="009F21E8">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Lives with parents</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53.1</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51.4</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48.2</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54.5</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49.2</w:t>
            </w:r>
          </w:p>
        </w:tc>
        <w:tc>
          <w:tcPr>
            <w:tcW w:w="0" w:type="auto"/>
            <w:tcMar>
              <w:top w:w="72" w:type="dxa"/>
              <w:left w:w="0" w:type="dxa"/>
              <w:bottom w:w="72" w:type="dxa"/>
              <w:right w:w="0" w:type="dxa"/>
            </w:tcMar>
            <w:vAlign w:val="center"/>
            <w:hideMark/>
          </w:tcPr>
          <w:p w:rsidR="009F21E8" w:rsidRPr="009F21E8" w:rsidRDefault="009F21E8" w:rsidP="009F21E8">
            <w:pPr>
              <w:pStyle w:val="NoSpacing"/>
            </w:pPr>
            <w:r w:rsidRPr="009F21E8">
              <w:t>58.8</w:t>
            </w:r>
          </w:p>
        </w:tc>
      </w:tr>
    </w:tbl>
    <w:p w:rsidR="00576140" w:rsidRDefault="00576140" w:rsidP="00775749"/>
    <w:p w:rsidR="002F62BC" w:rsidRPr="002F62BC" w:rsidRDefault="002F62BC" w:rsidP="002F62BC">
      <w:pPr>
        <w:spacing w:line="360" w:lineRule="atLeast"/>
        <w:rPr>
          <w:rFonts w:ascii="Arial" w:eastAsia="Times New Roman" w:hAnsi="Arial" w:cs="Arial"/>
          <w:lang/>
        </w:rPr>
      </w:pPr>
      <w:r w:rsidRPr="002F62BC">
        <w:rPr>
          <w:rFonts w:ascii="Arial" w:eastAsia="Times New Roman" w:hAnsi="Arial" w:cs="Arial"/>
          <w:lang/>
        </w:rPr>
        <w:lastRenderedPageBreak/>
        <w:t xml:space="preserve">The differences among the user populations of these services are not particularly pronounced on most variables. Some trends, nonetheless, are notable. First, the percentage of Asian/Asian American users fluctuates considerably, depending on the service. In particular, Asian/Asian American students in the sample are least represented on MySpace, whereas </w:t>
      </w:r>
      <w:proofErr w:type="spellStart"/>
      <w:r w:rsidRPr="002F62BC">
        <w:rPr>
          <w:rFonts w:ascii="Arial" w:eastAsia="Times New Roman" w:hAnsi="Arial" w:cs="Arial"/>
          <w:lang/>
        </w:rPr>
        <w:t>Xanga</w:t>
      </w:r>
      <w:proofErr w:type="spellEnd"/>
      <w:r w:rsidRPr="002F62BC">
        <w:rPr>
          <w:rFonts w:ascii="Arial" w:eastAsia="Times New Roman" w:hAnsi="Arial" w:cs="Arial"/>
          <w:lang/>
        </w:rPr>
        <w:t xml:space="preserve"> and </w:t>
      </w:r>
      <w:proofErr w:type="spellStart"/>
      <w:r w:rsidRPr="002F62BC">
        <w:rPr>
          <w:rFonts w:ascii="Arial" w:eastAsia="Times New Roman" w:hAnsi="Arial" w:cs="Arial"/>
          <w:lang/>
        </w:rPr>
        <w:t>Friendster</w:t>
      </w:r>
      <w:proofErr w:type="spellEnd"/>
      <w:r w:rsidRPr="002F62BC">
        <w:rPr>
          <w:rFonts w:ascii="Arial" w:eastAsia="Times New Roman" w:hAnsi="Arial" w:cs="Arial"/>
          <w:lang/>
        </w:rPr>
        <w:t xml:space="preserve"> are especially popular with this group. Second, students of Hispanic origin make up a considerably larger segment of MySpace users than their representation in the sample as a whole. Third, there is a relationship between parental education and use of some SNSs. In particular, students who have at least one parent with a graduate degree are more represented on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w:t>
      </w:r>
      <w:proofErr w:type="spellStart"/>
      <w:r w:rsidRPr="002F62BC">
        <w:rPr>
          <w:rFonts w:ascii="Arial" w:eastAsia="Times New Roman" w:hAnsi="Arial" w:cs="Arial"/>
          <w:lang/>
        </w:rPr>
        <w:t>Xanga</w:t>
      </w:r>
      <w:proofErr w:type="spellEnd"/>
      <w:r w:rsidRPr="002F62BC">
        <w:rPr>
          <w:rFonts w:ascii="Arial" w:eastAsia="Times New Roman" w:hAnsi="Arial" w:cs="Arial"/>
          <w:lang/>
        </w:rPr>
        <w:t xml:space="preserve">, and </w:t>
      </w:r>
      <w:proofErr w:type="spellStart"/>
      <w:r w:rsidRPr="002F62BC">
        <w:rPr>
          <w:rFonts w:ascii="Arial" w:eastAsia="Times New Roman" w:hAnsi="Arial" w:cs="Arial"/>
          <w:lang/>
        </w:rPr>
        <w:t>Friendster</w:t>
      </w:r>
      <w:proofErr w:type="spellEnd"/>
      <w:r w:rsidRPr="002F62BC">
        <w:rPr>
          <w:rFonts w:ascii="Arial" w:eastAsia="Times New Roman" w:hAnsi="Arial" w:cs="Arial"/>
          <w:lang/>
        </w:rPr>
        <w:t xml:space="preserve"> than they are in the aggregate sample, while students whose parents have less than a high school education are disproportionately users of MySpace.</w:t>
      </w:r>
    </w:p>
    <w:p w:rsidR="002F62BC" w:rsidRPr="002F62BC" w:rsidRDefault="002F62BC" w:rsidP="002F62BC">
      <w:pPr>
        <w:spacing w:line="360" w:lineRule="atLeast"/>
        <w:rPr>
          <w:rFonts w:ascii="Arial" w:eastAsia="Times New Roman" w:hAnsi="Arial" w:cs="Arial"/>
          <w:lang/>
        </w:rPr>
      </w:pPr>
      <w:r w:rsidRPr="002F62BC">
        <w:rPr>
          <w:rFonts w:ascii="Arial" w:eastAsia="Times New Roman" w:hAnsi="Arial" w:cs="Arial"/>
          <w:lang/>
        </w:rPr>
        <w:t xml:space="preserve">Another way to look at the data is to consider the levels of SNS popularity by type of user attribute. </w:t>
      </w:r>
      <w:hyperlink r:id="rId39" w:anchor="t4" w:tooltip="Link to table" w:history="1">
        <w:r w:rsidRPr="002F62BC">
          <w:rPr>
            <w:rFonts w:ascii="Arial" w:eastAsia="Times New Roman" w:hAnsi="Arial" w:cs="Arial"/>
            <w:lang/>
          </w:rPr>
          <w:t>Table 4</w:t>
        </w:r>
      </w:hyperlink>
      <w:r w:rsidRPr="002F62BC">
        <w:rPr>
          <w:rFonts w:ascii="Arial" w:eastAsia="Times New Roman" w:hAnsi="Arial" w:cs="Arial"/>
          <w:lang/>
        </w:rPr>
        <w:t xml:space="preserve"> presents SNS usage statistics broken down by gender, race and ethnicity, and parental educational background. This breakdown is presented for SNS use in the aggregate and then separately for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MySpace, </w:t>
      </w:r>
      <w:proofErr w:type="spellStart"/>
      <w:r w:rsidRPr="002F62BC">
        <w:rPr>
          <w:rFonts w:ascii="Arial" w:eastAsia="Times New Roman" w:hAnsi="Arial" w:cs="Arial"/>
          <w:lang/>
        </w:rPr>
        <w:t>Xanga</w:t>
      </w:r>
      <w:proofErr w:type="spellEnd"/>
      <w:r w:rsidRPr="002F62BC">
        <w:rPr>
          <w:rFonts w:ascii="Arial" w:eastAsia="Times New Roman" w:hAnsi="Arial" w:cs="Arial"/>
          <w:lang/>
        </w:rPr>
        <w:t xml:space="preserve">, and </w:t>
      </w:r>
      <w:proofErr w:type="spellStart"/>
      <w:r w:rsidRPr="002F62BC">
        <w:rPr>
          <w:rFonts w:ascii="Arial" w:eastAsia="Times New Roman" w:hAnsi="Arial" w:cs="Arial"/>
          <w:lang/>
        </w:rPr>
        <w:t>Friendster</w:t>
      </w:r>
      <w:proofErr w:type="spellEnd"/>
      <w:r w:rsidRPr="002F62BC">
        <w:rPr>
          <w:rFonts w:ascii="Arial" w:eastAsia="Times New Roman" w:hAnsi="Arial" w:cs="Arial"/>
          <w:lang/>
        </w:rPr>
        <w:t xml:space="preserve">. (Due to </w:t>
      </w:r>
      <w:proofErr w:type="spellStart"/>
      <w:r w:rsidRPr="002F62BC">
        <w:rPr>
          <w:rFonts w:ascii="Arial" w:eastAsia="Times New Roman" w:hAnsi="Arial" w:cs="Arial"/>
          <w:lang/>
        </w:rPr>
        <w:t>Bebo’s</w:t>
      </w:r>
      <w:proofErr w:type="spellEnd"/>
      <w:r w:rsidRPr="002F62BC">
        <w:rPr>
          <w:rFonts w:ascii="Arial" w:eastAsia="Times New Roman" w:hAnsi="Arial" w:cs="Arial"/>
          <w:lang/>
        </w:rPr>
        <w:t xml:space="preserve"> and </w:t>
      </w:r>
      <w:proofErr w:type="spellStart"/>
      <w:r w:rsidRPr="002F62BC">
        <w:rPr>
          <w:rFonts w:ascii="Arial" w:eastAsia="Times New Roman" w:hAnsi="Arial" w:cs="Arial"/>
          <w:lang/>
        </w:rPr>
        <w:t>Orkut’s</w:t>
      </w:r>
      <w:proofErr w:type="spellEnd"/>
      <w:r w:rsidRPr="002F62BC">
        <w:rPr>
          <w:rFonts w:ascii="Arial" w:eastAsia="Times New Roman" w:hAnsi="Arial" w:cs="Arial"/>
          <w:lang/>
        </w:rPr>
        <w:t xml:space="preserve"> low rate of use in this sample, no disaggregated figures are presented for those two sites.)</w:t>
      </w:r>
    </w:p>
    <w:p w:rsidR="002F62BC" w:rsidRPr="002F62BC" w:rsidRDefault="002F62BC" w:rsidP="002F62BC">
      <w:pPr>
        <w:spacing w:after="240" w:line="360" w:lineRule="atLeast"/>
        <w:rPr>
          <w:rFonts w:ascii="Arial" w:eastAsia="Times New Roman" w:hAnsi="Arial" w:cs="Arial"/>
          <w:lang/>
        </w:rPr>
      </w:pPr>
      <w:r w:rsidRPr="005401CC">
        <w:rPr>
          <w:rFonts w:ascii="Arial" w:eastAsia="Times New Roman" w:hAnsi="Arial" w:cs="Arial"/>
          <w:lang/>
        </w:rPr>
        <w:t>T</w:t>
      </w:r>
      <w:hyperlink r:id="rId40" w:anchor="t4" w:tooltip="Link to table" w:history="1">
        <w:r w:rsidRPr="002F62BC">
          <w:rPr>
            <w:rFonts w:ascii="Arial" w:eastAsia="Times New Roman" w:hAnsi="Arial" w:cs="Arial"/>
            <w:lang/>
          </w:rPr>
          <w:t>able 4</w:t>
        </w:r>
      </w:hyperlink>
      <w:r w:rsidRPr="002F62BC">
        <w:rPr>
          <w:rFonts w:ascii="Arial" w:eastAsia="Times New Roman" w:hAnsi="Arial" w:cs="Arial"/>
          <w:lang/>
        </w:rPr>
        <w:t xml:space="preserve"> shows significant differences according to type of user. When it comes to aggregate SNS usage, women are more likely to use such services than are men, but once disaggregated by type of site, depending on the service, the differences all but disappear. That is, while female students in the sample are much more likely to use MySpace, there is little difference between young women and young men in the group when it comes to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w:t>
      </w:r>
      <w:proofErr w:type="spellStart"/>
      <w:r w:rsidRPr="002F62BC">
        <w:rPr>
          <w:rFonts w:ascii="Arial" w:eastAsia="Times New Roman" w:hAnsi="Arial" w:cs="Arial"/>
          <w:lang/>
        </w:rPr>
        <w:t>Xanga</w:t>
      </w:r>
      <w:proofErr w:type="spellEnd"/>
      <w:r w:rsidRPr="002F62BC">
        <w:rPr>
          <w:rFonts w:ascii="Arial" w:eastAsia="Times New Roman" w:hAnsi="Arial" w:cs="Arial"/>
          <w:lang/>
        </w:rPr>
        <w:t xml:space="preserve">, or </w:t>
      </w:r>
      <w:proofErr w:type="spellStart"/>
      <w:r w:rsidRPr="002F62BC">
        <w:rPr>
          <w:rFonts w:ascii="Arial" w:eastAsia="Times New Roman" w:hAnsi="Arial" w:cs="Arial"/>
          <w:lang/>
        </w:rPr>
        <w:t>Friendster</w:t>
      </w:r>
      <w:proofErr w:type="spellEnd"/>
      <w:r w:rsidRPr="002F62BC">
        <w:rPr>
          <w:rFonts w:ascii="Arial" w:eastAsia="Times New Roman" w:hAnsi="Arial" w:cs="Arial"/>
          <w:lang/>
        </w:rPr>
        <w:t xml:space="preserve"> use.</w:t>
      </w:r>
    </w:p>
    <w:p w:rsidR="002F62BC" w:rsidRPr="002F62BC" w:rsidRDefault="002F62BC" w:rsidP="002F62BC">
      <w:pPr>
        <w:spacing w:after="240" w:line="360" w:lineRule="atLeast"/>
        <w:rPr>
          <w:rFonts w:ascii="Arial" w:eastAsia="Times New Roman" w:hAnsi="Arial" w:cs="Arial"/>
          <w:lang/>
        </w:rPr>
      </w:pPr>
      <w:r w:rsidRPr="002F62BC">
        <w:rPr>
          <w:rFonts w:ascii="Arial" w:eastAsia="Times New Roman" w:hAnsi="Arial" w:cs="Arial"/>
          <w:lang/>
        </w:rPr>
        <w:t xml:space="preserve">Regarding race and ethnicity, the most pronounced findings concern students of Hispanic and Asian origin. Hispanic students are significantly less likely to use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(60% compared to 75% or more for other groups), whereas they are much more likely than others to use MySpace (73% among Hispanic students compared to 58% or less among all others). In contrast, like White students, Asian and Asian American students are much more likely to use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than others, but they are significantly less likely to use MySpace. Additionally, this group of students is especially active on </w:t>
      </w:r>
      <w:proofErr w:type="spellStart"/>
      <w:r w:rsidRPr="002F62BC">
        <w:rPr>
          <w:rFonts w:ascii="Arial" w:eastAsia="Times New Roman" w:hAnsi="Arial" w:cs="Arial"/>
          <w:lang/>
        </w:rPr>
        <w:t>Xanga</w:t>
      </w:r>
      <w:proofErr w:type="spellEnd"/>
      <w:r w:rsidRPr="002F62BC">
        <w:rPr>
          <w:rFonts w:ascii="Arial" w:eastAsia="Times New Roman" w:hAnsi="Arial" w:cs="Arial"/>
          <w:lang/>
        </w:rPr>
        <w:t xml:space="preserve"> and </w:t>
      </w:r>
      <w:proofErr w:type="spellStart"/>
      <w:r w:rsidRPr="002F62BC">
        <w:rPr>
          <w:rFonts w:ascii="Arial" w:eastAsia="Times New Roman" w:hAnsi="Arial" w:cs="Arial"/>
          <w:lang/>
        </w:rPr>
        <w:t>Friendster</w:t>
      </w:r>
      <w:proofErr w:type="spellEnd"/>
      <w:r w:rsidRPr="002F62BC">
        <w:rPr>
          <w:rFonts w:ascii="Arial" w:eastAsia="Times New Roman" w:hAnsi="Arial" w:cs="Arial"/>
          <w:lang/>
        </w:rPr>
        <w:t xml:space="preserve"> compared to others.</w:t>
      </w:r>
    </w:p>
    <w:p w:rsidR="002F62BC" w:rsidRPr="005401CC" w:rsidRDefault="002F62BC" w:rsidP="002F62BC">
      <w:pPr>
        <w:spacing w:line="360" w:lineRule="atLeast"/>
        <w:rPr>
          <w:rFonts w:ascii="Arial" w:eastAsia="Times New Roman" w:hAnsi="Arial" w:cs="Arial"/>
          <w:lang/>
        </w:rPr>
      </w:pPr>
      <w:r w:rsidRPr="002F62BC">
        <w:rPr>
          <w:rFonts w:ascii="Arial" w:eastAsia="Times New Roman" w:hAnsi="Arial" w:cs="Arial"/>
          <w:lang/>
        </w:rPr>
        <w:t xml:space="preserve">There are also significant differences according to parents’ level of education. The most pronounced finding is that students whose parents have less than a high school degree are significantly less likely to be on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and are significantly more likely to be MySpace users. In contrast, those who have at least one parent with a college education are significantly more likely to be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users, while those who have at least one parent with a graduate degree are considerably less likely to spend time on MySpace. </w:t>
      </w:r>
      <w:proofErr w:type="spellStart"/>
      <w:r w:rsidRPr="002F62BC">
        <w:rPr>
          <w:rFonts w:ascii="Arial" w:eastAsia="Times New Roman" w:hAnsi="Arial" w:cs="Arial"/>
          <w:lang/>
        </w:rPr>
        <w:t>Xanga</w:t>
      </w:r>
      <w:proofErr w:type="spellEnd"/>
      <w:r w:rsidRPr="002F62BC">
        <w:rPr>
          <w:rFonts w:ascii="Arial" w:eastAsia="Times New Roman" w:hAnsi="Arial" w:cs="Arial"/>
          <w:lang/>
        </w:rPr>
        <w:t xml:space="preserve"> also seems to appeal more to those whose parents have higher levels of education. However, since there is a relationship between parental education and a student’s race and ethnicity, it is best to look at these </w:t>
      </w:r>
      <w:r w:rsidRPr="002F62BC">
        <w:rPr>
          <w:rFonts w:ascii="Arial" w:eastAsia="Times New Roman" w:hAnsi="Arial" w:cs="Arial"/>
          <w:lang/>
        </w:rPr>
        <w:lastRenderedPageBreak/>
        <w:t>associations using more advanced statistical techniques that allow other factors to be controlled while the relationship between the various background variables and SNS usage is examined. The next section does this by considering what predicts SNS use on the whole and with regard to specific sites when controlling for other factors in the model.</w:t>
      </w:r>
    </w:p>
    <w:p w:rsidR="002F62BC" w:rsidRPr="005401CC" w:rsidRDefault="002F62BC" w:rsidP="002F62BC">
      <w:pPr>
        <w:spacing w:line="360" w:lineRule="atLeast"/>
        <w:rPr>
          <w:rFonts w:ascii="Arial" w:eastAsia="Times New Roman" w:hAnsi="Arial" w:cs="Arial"/>
          <w:b/>
          <w:lang/>
        </w:rPr>
      </w:pPr>
      <w:r w:rsidRPr="005401CC">
        <w:rPr>
          <w:rFonts w:ascii="Arial" w:eastAsia="Times New Roman" w:hAnsi="Arial" w:cs="Arial"/>
          <w:b/>
          <w:lang/>
        </w:rPr>
        <w:t>Discussion</w:t>
      </w:r>
    </w:p>
    <w:p w:rsidR="002F62BC" w:rsidRPr="002F62BC" w:rsidRDefault="002F62BC" w:rsidP="002F62BC">
      <w:pPr>
        <w:spacing w:after="240" w:line="360" w:lineRule="atLeast"/>
        <w:rPr>
          <w:rFonts w:ascii="Arial" w:eastAsia="Times New Roman" w:hAnsi="Arial" w:cs="Arial"/>
          <w:lang/>
        </w:rPr>
      </w:pPr>
      <w:r w:rsidRPr="002F62BC">
        <w:rPr>
          <w:rFonts w:ascii="Arial" w:eastAsia="Times New Roman" w:hAnsi="Arial" w:cs="Arial"/>
          <w:lang/>
        </w:rPr>
        <w:t>What explains the significant differences in SNS adoption by students’ background characteristics discussed above? It is important to bear in mind that respondents in this study are all on the same campus. Given that a main component of these sites is the ability to keep in contact with one’s social network, use of these sites and services cannot be viewed in isolation from the preferences that people in one’s social network may have for use of one service over another. No social network data were available in this data set to probe deeper into whether or to what extent students’ preferences for one SNS over another are influenced by their friends’ SNS preferences. Nonetheless, based on what is known about these sites, it is fair to assume that one’s existing offline network influences which site one embraces. Research has found that people often use these services to connect with those in their existing networks, rather than to seek out new friends and acquaintances (</w:t>
      </w:r>
      <w:hyperlink r:id="rId41" w:anchor="b12" w:tooltip="Link to bibliographic citation" w:history="1">
        <w:r w:rsidRPr="002F62BC">
          <w:rPr>
            <w:rFonts w:ascii="Arial" w:eastAsia="Times New Roman" w:hAnsi="Arial" w:cs="Arial"/>
            <w:lang/>
          </w:rPr>
          <w:t>Ellison et al., 2007</w:t>
        </w:r>
      </w:hyperlink>
      <w:r w:rsidRPr="002F62BC">
        <w:rPr>
          <w:rFonts w:ascii="Arial" w:eastAsia="Times New Roman" w:hAnsi="Arial" w:cs="Arial"/>
          <w:lang/>
        </w:rPr>
        <w:t>). And since it has long been known that people tend to socialize and spend time with others like them (</w:t>
      </w:r>
      <w:hyperlink r:id="rId42" w:anchor="b36" w:tooltip="Link to bibliographic citation" w:history="1">
        <w:r w:rsidRPr="002F62BC">
          <w:rPr>
            <w:rFonts w:ascii="Arial" w:eastAsia="Times New Roman" w:hAnsi="Arial" w:cs="Arial"/>
            <w:lang/>
          </w:rPr>
          <w:t>Marsden, 1987</w:t>
        </w:r>
      </w:hyperlink>
      <w:r w:rsidRPr="002F62BC">
        <w:rPr>
          <w:rFonts w:ascii="Arial" w:eastAsia="Times New Roman" w:hAnsi="Arial" w:cs="Arial"/>
          <w:lang/>
        </w:rPr>
        <w:t>), it is reasonable to expect that students from similar backgrounds might migrate toward the same services.</w:t>
      </w:r>
    </w:p>
    <w:p w:rsidR="002F62BC" w:rsidRPr="002F62BC" w:rsidRDefault="002F62BC" w:rsidP="002F62BC">
      <w:pPr>
        <w:spacing w:after="240" w:line="360" w:lineRule="atLeast"/>
        <w:rPr>
          <w:rFonts w:ascii="Arial" w:eastAsia="Times New Roman" w:hAnsi="Arial" w:cs="Arial"/>
          <w:lang/>
        </w:rPr>
      </w:pPr>
      <w:r w:rsidRPr="002F62BC">
        <w:rPr>
          <w:rFonts w:ascii="Arial" w:eastAsia="Times New Roman" w:hAnsi="Arial" w:cs="Arial"/>
          <w:lang/>
        </w:rPr>
        <w:t xml:space="preserve">The findings may also be related to the different features of these systems. Although by the time of this study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had opened up membership to everybody, initially membership had been restricted, requiring affiliation with an institution of higher learning. Requiring such an affiliation clearly limited the number and types of people who could sign up for the service in the beginning. In contrast, any Internet user could create an account on a site such as MySpace. Although these restrictions had changed by the time of this study, social networks are developed and maintained over time, so these initial differences may still be relevant for uptake in later years. In a similar vein, although students in this study all had university addresses to use for signing up on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it may well be the case that prior to matriculation at the university, people in their networks had joined the service in lower numbers due to the site’s initial limitations, thus making participation on that system less appealing. In sum, whether due to user characteristics or system features––or more likely, a combination of the two—it is important to note that in this sample, users from different racial and ethnic backgrounds are not equally drawn to the various social network sites.</w:t>
      </w:r>
    </w:p>
    <w:p w:rsidR="002F62BC" w:rsidRPr="002F62BC" w:rsidRDefault="002F62BC" w:rsidP="002F62BC">
      <w:pPr>
        <w:spacing w:after="240" w:line="360" w:lineRule="atLeast"/>
        <w:rPr>
          <w:rFonts w:ascii="Arial" w:eastAsia="Times New Roman" w:hAnsi="Arial" w:cs="Arial"/>
          <w:lang/>
        </w:rPr>
      </w:pPr>
      <w:r w:rsidRPr="002F62BC">
        <w:rPr>
          <w:rFonts w:ascii="Arial" w:eastAsia="Times New Roman" w:hAnsi="Arial" w:cs="Arial"/>
          <w:lang/>
        </w:rPr>
        <w:t xml:space="preserve">Students’ living context is significantly related to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adoption. That is, students who live at home are considerably less likely to use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than those who live with roommates or on their own. This could be due to different factors. One reason for this relationship may be that parents put limits on their children’s Internet uses. Another possibility is that having to share </w:t>
      </w:r>
      <w:r w:rsidRPr="002F62BC">
        <w:rPr>
          <w:rFonts w:ascii="Arial" w:eastAsia="Times New Roman" w:hAnsi="Arial" w:cs="Arial"/>
          <w:lang/>
        </w:rPr>
        <w:lastRenderedPageBreak/>
        <w:t>machines at home leads to less time online and fewer opportunities to explore social network sites. Given that access to the Internet at a friend’s or family member’s house is also related to SNS use (positively by increasing the likelihood of use), these explanations about autonomy of use are plausible.</w:t>
      </w:r>
    </w:p>
    <w:p w:rsidR="002F62BC" w:rsidRPr="002F62BC" w:rsidRDefault="002F62BC" w:rsidP="002F62BC">
      <w:pPr>
        <w:spacing w:after="240" w:line="360" w:lineRule="atLeast"/>
        <w:rPr>
          <w:rFonts w:ascii="Arial" w:eastAsia="Times New Roman" w:hAnsi="Arial" w:cs="Arial"/>
          <w:lang/>
        </w:rPr>
      </w:pPr>
      <w:r w:rsidRPr="002F62BC">
        <w:rPr>
          <w:rFonts w:ascii="Arial" w:eastAsia="Times New Roman" w:hAnsi="Arial" w:cs="Arial"/>
          <w:lang/>
        </w:rPr>
        <w:t xml:space="preserve">A different possible reason for these results is that by spending less time on campus, students who live with their parents know fewer of their peers and know less about them, thus perhaps having less of a desire to keep in touch with them at the level afforded by social network sites. Also, this finding seems to imply that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use is mostly for keeping in touch with students on one’s campus whom one sees during day-to-day college life, or that such a motivation may at least account for initial uptake of the service, possibly yielding other uses later as well. Students who live at home likely have much less exposure to their college peers than do students residing on campus. Ironically, by not using a service like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they are being exposed to their college buddies even less, because not only are they not </w:t>
      </w:r>
      <w:proofErr w:type="gramStart"/>
      <w:r w:rsidRPr="002F62BC">
        <w:rPr>
          <w:rFonts w:ascii="Arial" w:eastAsia="Times New Roman" w:hAnsi="Arial" w:cs="Arial"/>
          <w:lang/>
        </w:rPr>
        <w:t>interacting</w:t>
      </w:r>
      <w:proofErr w:type="gramEnd"/>
      <w:r w:rsidRPr="002F62BC">
        <w:rPr>
          <w:rFonts w:ascii="Arial" w:eastAsia="Times New Roman" w:hAnsi="Arial" w:cs="Arial"/>
          <w:lang/>
        </w:rPr>
        <w:t xml:space="preserve"> as much in person as those who live on campus, but they are also not following their peers’ activities online.</w:t>
      </w:r>
    </w:p>
    <w:p w:rsidR="002F62BC" w:rsidRPr="002F62BC" w:rsidRDefault="002F62BC" w:rsidP="002F62BC">
      <w:pPr>
        <w:spacing w:after="240" w:line="360" w:lineRule="atLeast"/>
        <w:rPr>
          <w:rFonts w:ascii="Arial" w:eastAsia="Times New Roman" w:hAnsi="Arial" w:cs="Arial"/>
          <w:lang/>
        </w:rPr>
      </w:pPr>
      <w:r w:rsidRPr="002F62BC">
        <w:rPr>
          <w:rFonts w:ascii="Arial" w:eastAsia="Times New Roman" w:hAnsi="Arial" w:cs="Arial"/>
          <w:lang/>
        </w:rPr>
        <w:t xml:space="preserve">Forming relationships with members of one’s cohort is an important part of the college experience, and one could argue that services like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facilitate such interactions. Ellison and colleagues (2007) found precisely such a relationship between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use and the formation and maintenance of social capital. However, if students who are less likely to be around campus to build relationships in the first place are the ones who are also less likely to use online services that facilitate additional interactions with their peers, then it is precisely the students for whom use of such sites may make the most difference who are missing out. That is, if those who are already interacting less with others are also doing less of this online, then differential uses of such services may be contributing to a two-tiered social system, in which some people make and cultivate lots of networks in college, while others benefit from this part of the experience considerably less. Optimists about the Internet’s potential to improve people’s lives emphasize its ability to sidestep constraints stemming from one’s physical surroundings, but the findings of this study suggest that, if anything, people who are already constrained due to particular circumstances are precisely the ones not benefiting from some of the Web’s potential.</w:t>
      </w:r>
    </w:p>
    <w:p w:rsidR="002F62BC" w:rsidRPr="002F62BC" w:rsidRDefault="002F62BC" w:rsidP="002F62BC">
      <w:pPr>
        <w:spacing w:line="360" w:lineRule="atLeast"/>
        <w:rPr>
          <w:rFonts w:ascii="Arial" w:eastAsia="Times New Roman" w:hAnsi="Arial" w:cs="Arial"/>
          <w:lang/>
        </w:rPr>
      </w:pPr>
      <w:r w:rsidRPr="002F62BC">
        <w:rPr>
          <w:rFonts w:ascii="Arial" w:eastAsia="Times New Roman" w:hAnsi="Arial" w:cs="Arial"/>
          <w:lang/>
        </w:rPr>
        <w:t xml:space="preserve">To understand what is truly driving these findings about the limits put on the use of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by living context, qualitative studies will be necessary to explore students’ Internet uses in the home context and their involvement with SNSs, in particular in the context of life with their parents, as well as with their peers.</w:t>
      </w:r>
    </w:p>
    <w:p w:rsidR="007537B7" w:rsidRDefault="007537B7" w:rsidP="002F62BC">
      <w:pPr>
        <w:spacing w:line="360" w:lineRule="atLeast"/>
        <w:rPr>
          <w:rFonts w:ascii="Arial" w:eastAsia="Times New Roman" w:hAnsi="Arial" w:cs="Arial"/>
          <w:b/>
          <w:lang/>
        </w:rPr>
      </w:pPr>
    </w:p>
    <w:p w:rsidR="007537B7" w:rsidRDefault="007537B7" w:rsidP="002F62BC">
      <w:pPr>
        <w:spacing w:line="360" w:lineRule="atLeast"/>
        <w:rPr>
          <w:rFonts w:ascii="Arial" w:eastAsia="Times New Roman" w:hAnsi="Arial" w:cs="Arial"/>
          <w:b/>
          <w:lang/>
        </w:rPr>
      </w:pPr>
    </w:p>
    <w:p w:rsidR="002F62BC" w:rsidRPr="005401CC" w:rsidRDefault="002F62BC" w:rsidP="002F62BC">
      <w:pPr>
        <w:spacing w:line="360" w:lineRule="atLeast"/>
        <w:rPr>
          <w:rFonts w:ascii="Arial" w:eastAsia="Times New Roman" w:hAnsi="Arial" w:cs="Arial"/>
          <w:b/>
          <w:lang/>
        </w:rPr>
      </w:pPr>
      <w:r w:rsidRPr="005401CC">
        <w:rPr>
          <w:rFonts w:ascii="Arial" w:eastAsia="Times New Roman" w:hAnsi="Arial" w:cs="Arial"/>
          <w:b/>
          <w:lang/>
        </w:rPr>
        <w:lastRenderedPageBreak/>
        <w:t>Conclusion</w:t>
      </w:r>
    </w:p>
    <w:p w:rsidR="002F62BC" w:rsidRPr="002F62BC" w:rsidRDefault="002F62BC" w:rsidP="002F62BC">
      <w:pPr>
        <w:spacing w:after="240" w:line="360" w:lineRule="atLeast"/>
        <w:rPr>
          <w:rFonts w:ascii="Arial" w:eastAsia="Times New Roman" w:hAnsi="Arial" w:cs="Arial"/>
          <w:lang/>
        </w:rPr>
      </w:pPr>
      <w:r w:rsidRPr="002F62BC">
        <w:rPr>
          <w:rFonts w:ascii="Arial" w:eastAsia="Times New Roman" w:hAnsi="Arial" w:cs="Arial"/>
          <w:lang/>
        </w:rPr>
        <w:t>Using a unique data set with unprecedented granularity regarding SNS usage, coupled with detailed demographic background information about students, this study has looked at what types of user characteristics (from among a diverse group of first-year students at an urban public university) are most likely to be associated with social network site usage. In particular, this study has considered how people’s demographic characteristics and the social surroundings of their uses might relate to the particular social network sites they embrace. When SNS usage statistics are considered in the aggregate, the results only show a relationship of gender to SNS use, in addition to the importance of context of use and experience with the medium. However, when specific site usage is considered, statistically significant relationships emerge between race and ethnicity and SNS uses, in addition to the predictive power of parental education.</w:t>
      </w:r>
    </w:p>
    <w:p w:rsidR="002F62BC" w:rsidRPr="002F62BC" w:rsidRDefault="002F62BC" w:rsidP="002F62BC">
      <w:pPr>
        <w:spacing w:after="240" w:line="360" w:lineRule="atLeast"/>
        <w:rPr>
          <w:rFonts w:ascii="Arial" w:eastAsia="Times New Roman" w:hAnsi="Arial" w:cs="Arial"/>
          <w:lang/>
        </w:rPr>
      </w:pPr>
      <w:r w:rsidRPr="002F62BC">
        <w:rPr>
          <w:rFonts w:ascii="Arial" w:eastAsia="Times New Roman" w:hAnsi="Arial" w:cs="Arial"/>
          <w:lang/>
        </w:rPr>
        <w:t xml:space="preserve">In particular, Hispanic students are significantly more likely to use MySpace than are Whites in the sample, while Asian and Asian American students are significantly less likely to use MySpace. Additionally, the latter group is much more likely to use </w:t>
      </w:r>
      <w:proofErr w:type="spellStart"/>
      <w:r w:rsidRPr="002F62BC">
        <w:rPr>
          <w:rFonts w:ascii="Arial" w:eastAsia="Times New Roman" w:hAnsi="Arial" w:cs="Arial"/>
          <w:lang/>
        </w:rPr>
        <w:t>Xanga</w:t>
      </w:r>
      <w:proofErr w:type="spellEnd"/>
      <w:r w:rsidRPr="002F62BC">
        <w:rPr>
          <w:rFonts w:ascii="Arial" w:eastAsia="Times New Roman" w:hAnsi="Arial" w:cs="Arial"/>
          <w:lang/>
        </w:rPr>
        <w:t xml:space="preserve"> and </w:t>
      </w:r>
      <w:proofErr w:type="spellStart"/>
      <w:r w:rsidRPr="002F62BC">
        <w:rPr>
          <w:rFonts w:ascii="Arial" w:eastAsia="Times New Roman" w:hAnsi="Arial" w:cs="Arial"/>
          <w:lang/>
        </w:rPr>
        <w:t>Friendster</w:t>
      </w:r>
      <w:proofErr w:type="spellEnd"/>
      <w:r w:rsidRPr="002F62BC">
        <w:rPr>
          <w:rFonts w:ascii="Arial" w:eastAsia="Times New Roman" w:hAnsi="Arial" w:cs="Arial"/>
          <w:lang/>
        </w:rPr>
        <w:t xml:space="preserve"> than are Whites, a practice that may be due to these services’ popularity in the Philippines, Singapore, Malaysia, and Indonesia (</w:t>
      </w:r>
      <w:proofErr w:type="spellStart"/>
      <w:proofErr w:type="gramStart"/>
      <w:r w:rsidRPr="002F62BC">
        <w:rPr>
          <w:rFonts w:ascii="Arial" w:eastAsia="Times New Roman" w:hAnsi="Arial" w:cs="Arial"/>
          <w:lang/>
        </w:rPr>
        <w:t>boyd</w:t>
      </w:r>
      <w:proofErr w:type="spellEnd"/>
      <w:proofErr w:type="gramEnd"/>
      <w:r w:rsidRPr="002F62BC">
        <w:rPr>
          <w:rFonts w:ascii="Arial" w:eastAsia="Times New Roman" w:hAnsi="Arial" w:cs="Arial"/>
          <w:lang/>
        </w:rPr>
        <w:t xml:space="preserve"> &amp; Ellison, this issue), where—given the immigrant nature of the sample—many students may have extended family and friends from earlier parts of their lives.</w:t>
      </w:r>
    </w:p>
    <w:p w:rsidR="002F62BC" w:rsidRPr="002F62BC" w:rsidRDefault="002F62BC" w:rsidP="002F62BC">
      <w:pPr>
        <w:spacing w:after="240" w:line="360" w:lineRule="atLeast"/>
        <w:rPr>
          <w:rFonts w:ascii="Arial" w:eastAsia="Times New Roman" w:hAnsi="Arial" w:cs="Arial"/>
          <w:lang/>
        </w:rPr>
      </w:pPr>
      <w:r w:rsidRPr="002F62BC">
        <w:rPr>
          <w:rFonts w:ascii="Arial" w:eastAsia="Times New Roman" w:hAnsi="Arial" w:cs="Arial"/>
          <w:lang/>
        </w:rPr>
        <w:t xml:space="preserve">Regarding parental education, students whose parents have lower levels of schooling are more likely to be MySpace users, whereas students whose parents have higher levels of education are more likely to be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users. These associations are not evident when aggregating all social network site usage, probably because the various relationships cancel each other out.</w:t>
      </w:r>
    </w:p>
    <w:p w:rsidR="002F62BC" w:rsidRPr="002F62BC" w:rsidRDefault="002F62BC" w:rsidP="002F62BC">
      <w:pPr>
        <w:spacing w:after="240" w:line="360" w:lineRule="atLeast"/>
        <w:rPr>
          <w:rFonts w:ascii="Arial" w:eastAsia="Times New Roman" w:hAnsi="Arial" w:cs="Arial"/>
          <w:lang/>
        </w:rPr>
      </w:pPr>
      <w:r w:rsidRPr="002F62BC">
        <w:rPr>
          <w:rFonts w:ascii="Arial" w:eastAsia="Times New Roman" w:hAnsi="Arial" w:cs="Arial"/>
          <w:lang/>
        </w:rPr>
        <w:t xml:space="preserve">The goal of this article was to compare SNS users and non-users; the findings suggest some systematic differences in who chooses to spend time on such sites and who does not. Importantly, the findings also suggest that different populations select into the use of different services, posing a challenge to research that tends to collapse use of all social network sites. Most studies that look at SNS uses focus on one service only. The findings presented in this article suggest caution when generalizing findings from the use of one site to the use of other related services. A significant finding of the study is that aggregated SNS use statistics hide important differences concerning usage preferences within a diverse sample of users by specific site. Simply looking at, for example, whether race and ethnicity are related to SNS use suggests that there are no differences across groups. However, once specific site usage is disaggregated in the analyses, significant divergences emerge. Insofar as use of </w:t>
      </w:r>
      <w:proofErr w:type="spellStart"/>
      <w:r w:rsidRPr="002F62BC">
        <w:rPr>
          <w:rFonts w:ascii="Arial" w:eastAsia="Times New Roman" w:hAnsi="Arial" w:cs="Arial"/>
          <w:lang/>
        </w:rPr>
        <w:t>Facebook</w:t>
      </w:r>
      <w:proofErr w:type="spellEnd"/>
      <w:r w:rsidRPr="002F62BC">
        <w:rPr>
          <w:rFonts w:ascii="Arial" w:eastAsia="Times New Roman" w:hAnsi="Arial" w:cs="Arial"/>
          <w:lang/>
        </w:rPr>
        <w:t xml:space="preserve"> is qualitatively different from the use of MySpace, and these uses in turn are different from the uses of </w:t>
      </w:r>
      <w:proofErr w:type="spellStart"/>
      <w:r w:rsidRPr="002F62BC">
        <w:rPr>
          <w:rFonts w:ascii="Arial" w:eastAsia="Times New Roman" w:hAnsi="Arial" w:cs="Arial"/>
          <w:lang/>
        </w:rPr>
        <w:t>Xanga</w:t>
      </w:r>
      <w:proofErr w:type="spellEnd"/>
      <w:r w:rsidRPr="002F62BC">
        <w:rPr>
          <w:rFonts w:ascii="Arial" w:eastAsia="Times New Roman" w:hAnsi="Arial" w:cs="Arial"/>
          <w:lang/>
        </w:rPr>
        <w:t xml:space="preserve"> </w:t>
      </w:r>
      <w:r w:rsidRPr="002F62BC">
        <w:rPr>
          <w:rFonts w:ascii="Arial" w:eastAsia="Times New Roman" w:hAnsi="Arial" w:cs="Arial"/>
          <w:lang/>
        </w:rPr>
        <w:lastRenderedPageBreak/>
        <w:t xml:space="preserve">and </w:t>
      </w:r>
      <w:proofErr w:type="spellStart"/>
      <w:r w:rsidRPr="002F62BC">
        <w:rPr>
          <w:rFonts w:ascii="Arial" w:eastAsia="Times New Roman" w:hAnsi="Arial" w:cs="Arial"/>
          <w:lang/>
        </w:rPr>
        <w:t>Friendster</w:t>
      </w:r>
      <w:proofErr w:type="spellEnd"/>
      <w:r w:rsidRPr="002F62BC">
        <w:rPr>
          <w:rFonts w:ascii="Arial" w:eastAsia="Times New Roman" w:hAnsi="Arial" w:cs="Arial"/>
          <w:lang/>
        </w:rPr>
        <w:t>, recognizing and critically considering these differences is important for SNS use research, regardless of the methods of analysis used.</w:t>
      </w:r>
    </w:p>
    <w:p w:rsidR="002F62BC" w:rsidRPr="002F62BC" w:rsidRDefault="002F62BC" w:rsidP="002F62BC">
      <w:pPr>
        <w:spacing w:line="360" w:lineRule="atLeast"/>
        <w:rPr>
          <w:rFonts w:ascii="Arial" w:eastAsia="Times New Roman" w:hAnsi="Arial" w:cs="Arial"/>
          <w:lang/>
        </w:rPr>
      </w:pPr>
      <w:r w:rsidRPr="002F62BC">
        <w:rPr>
          <w:rFonts w:ascii="Arial" w:eastAsia="Times New Roman" w:hAnsi="Arial" w:cs="Arial"/>
          <w:lang/>
        </w:rPr>
        <w:t>In addition to contributing to the methodological and substantive study of SNSs, the findings in this article also address issues explored in the digital inequality literature. The fact that students select into the use of different services based on their racial and ethnic background, as well as their parents’ level of education, suggests that there is less intermingling of users from varying backgrounds than discourse about the supposed freedom of online interactions may suggest. At first glance, it may seem that on the Internet nobody knows who you are (</w:t>
      </w:r>
      <w:hyperlink r:id="rId43" w:anchor="b43" w:tooltip="Link to bibliographic citation" w:history="1">
        <w:r w:rsidRPr="002F62BC">
          <w:rPr>
            <w:rFonts w:ascii="Arial" w:eastAsia="Times New Roman" w:hAnsi="Arial" w:cs="Arial"/>
            <w:lang/>
          </w:rPr>
          <w:t>Steiner, 1993</w:t>
        </w:r>
      </w:hyperlink>
      <w:r w:rsidRPr="002F62BC">
        <w:rPr>
          <w:rFonts w:ascii="Arial" w:eastAsia="Times New Roman" w:hAnsi="Arial" w:cs="Arial"/>
          <w:lang/>
        </w:rPr>
        <w:t xml:space="preserve">). In reality, however, the membership of certain online communities mirrors people’s social networks in their everyday lives; thus online actions and interactions cannot be seen as </w:t>
      </w:r>
      <w:r w:rsidRPr="005401CC">
        <w:rPr>
          <w:rFonts w:ascii="Arial" w:eastAsia="Times New Roman" w:hAnsi="Arial" w:cs="Arial"/>
          <w:i/>
          <w:iCs/>
          <w:lang/>
        </w:rPr>
        <w:t xml:space="preserve">tabula rasa </w:t>
      </w:r>
      <w:r w:rsidRPr="002F62BC">
        <w:rPr>
          <w:rFonts w:ascii="Arial" w:eastAsia="Times New Roman" w:hAnsi="Arial" w:cs="Arial"/>
          <w:lang/>
        </w:rPr>
        <w:t>activities, independent of existing offline identities. Rather, constraints on one’s everyday life are reflected in online behavior, thereby limiting—for some more than others—the extent to which students from different backgrounds may interact with students not like themselves.</w:t>
      </w:r>
    </w:p>
    <w:p w:rsidR="002F62BC" w:rsidRPr="002F62BC" w:rsidRDefault="002F62BC" w:rsidP="002F62BC">
      <w:pPr>
        <w:spacing w:line="360" w:lineRule="atLeast"/>
        <w:rPr>
          <w:rFonts w:ascii="Arial" w:eastAsia="Times New Roman" w:hAnsi="Arial" w:cs="Arial"/>
          <w:sz w:val="18"/>
          <w:szCs w:val="18"/>
          <w:lang/>
        </w:rPr>
      </w:pPr>
    </w:p>
    <w:p w:rsidR="002F62BC" w:rsidRPr="005401CC" w:rsidRDefault="002F62BC" w:rsidP="00775749"/>
    <w:p w:rsidR="002F62BC" w:rsidRPr="005401CC" w:rsidRDefault="002F62BC" w:rsidP="00775749"/>
    <w:sectPr w:rsidR="002F62BC" w:rsidRPr="005401CC" w:rsidSect="009F21E8">
      <w:pgSz w:w="12240" w:h="15840" w:code="1"/>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B49C5"/>
    <w:multiLevelType w:val="multilevel"/>
    <w:tmpl w:val="AD563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476E24"/>
    <w:multiLevelType w:val="multilevel"/>
    <w:tmpl w:val="729E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6D5C80"/>
    <w:multiLevelType w:val="multilevel"/>
    <w:tmpl w:val="D31A2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75749"/>
    <w:rsid w:val="00136AF8"/>
    <w:rsid w:val="002F62BC"/>
    <w:rsid w:val="005401CC"/>
    <w:rsid w:val="00576140"/>
    <w:rsid w:val="006538BE"/>
    <w:rsid w:val="007537B7"/>
    <w:rsid w:val="00775749"/>
    <w:rsid w:val="009F21E8"/>
    <w:rsid w:val="00AD44F0"/>
    <w:rsid w:val="00B40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5749"/>
    <w:rPr>
      <w:b w:val="0"/>
      <w:bCs w:val="0"/>
      <w:i/>
      <w:iCs/>
    </w:rPr>
  </w:style>
  <w:style w:type="character" w:customStyle="1" w:styleId="ttitle5">
    <w:name w:val="ttitle5"/>
    <w:basedOn w:val="DefaultParagraphFont"/>
    <w:rsid w:val="00775749"/>
    <w:rPr>
      <w:vanish w:val="0"/>
      <w:webHidden w:val="0"/>
      <w:specVanish w:val="0"/>
    </w:rPr>
  </w:style>
  <w:style w:type="character" w:customStyle="1" w:styleId="label27">
    <w:name w:val="label27"/>
    <w:basedOn w:val="DefaultParagraphFont"/>
    <w:rsid w:val="00775749"/>
  </w:style>
  <w:style w:type="paragraph" w:styleId="ListParagraph">
    <w:name w:val="List Paragraph"/>
    <w:basedOn w:val="Normal"/>
    <w:uiPriority w:val="34"/>
    <w:qFormat/>
    <w:rsid w:val="009F21E8"/>
    <w:pPr>
      <w:ind w:left="720"/>
      <w:contextualSpacing/>
    </w:pPr>
  </w:style>
  <w:style w:type="paragraph" w:styleId="NoSpacing">
    <w:name w:val="No Spacing"/>
    <w:uiPriority w:val="1"/>
    <w:qFormat/>
    <w:rsid w:val="009F21E8"/>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60923">
      <w:bodyDiv w:val="1"/>
      <w:marLeft w:val="-480"/>
      <w:marRight w:val="0"/>
      <w:marTop w:val="0"/>
      <w:marBottom w:val="0"/>
      <w:divBdr>
        <w:top w:val="none" w:sz="0" w:space="0" w:color="auto"/>
        <w:left w:val="none" w:sz="0" w:space="0" w:color="auto"/>
        <w:bottom w:val="none" w:sz="0" w:space="0" w:color="auto"/>
        <w:right w:val="none" w:sz="0" w:space="0" w:color="auto"/>
      </w:divBdr>
      <w:divsChild>
        <w:div w:id="976834846">
          <w:marLeft w:val="0"/>
          <w:marRight w:val="0"/>
          <w:marTop w:val="0"/>
          <w:marBottom w:val="0"/>
          <w:divBdr>
            <w:top w:val="none" w:sz="0" w:space="0" w:color="auto"/>
            <w:left w:val="none" w:sz="0" w:space="0" w:color="auto"/>
            <w:bottom w:val="none" w:sz="0" w:space="0" w:color="auto"/>
            <w:right w:val="none" w:sz="0" w:space="0" w:color="auto"/>
          </w:divBdr>
          <w:divsChild>
            <w:div w:id="912667376">
              <w:marLeft w:val="0"/>
              <w:marRight w:val="0"/>
              <w:marTop w:val="0"/>
              <w:marBottom w:val="0"/>
              <w:divBdr>
                <w:top w:val="none" w:sz="0" w:space="0" w:color="auto"/>
                <w:left w:val="none" w:sz="0" w:space="0" w:color="auto"/>
                <w:bottom w:val="none" w:sz="0" w:space="0" w:color="auto"/>
                <w:right w:val="none" w:sz="0" w:space="0" w:color="auto"/>
              </w:divBdr>
              <w:divsChild>
                <w:div w:id="1942831260">
                  <w:marLeft w:val="0"/>
                  <w:marRight w:val="0"/>
                  <w:marTop w:val="0"/>
                  <w:marBottom w:val="240"/>
                  <w:divBdr>
                    <w:top w:val="none" w:sz="0" w:space="0" w:color="auto"/>
                    <w:left w:val="none" w:sz="0" w:space="0" w:color="auto"/>
                    <w:bottom w:val="none" w:sz="0" w:space="0" w:color="auto"/>
                    <w:right w:val="none" w:sz="0" w:space="0" w:color="auto"/>
                  </w:divBdr>
                  <w:divsChild>
                    <w:div w:id="521672508">
                      <w:marLeft w:val="0"/>
                      <w:marRight w:val="0"/>
                      <w:marTop w:val="0"/>
                      <w:marBottom w:val="0"/>
                      <w:divBdr>
                        <w:top w:val="none" w:sz="0" w:space="0" w:color="auto"/>
                        <w:left w:val="none" w:sz="0" w:space="0" w:color="auto"/>
                        <w:bottom w:val="none" w:sz="0" w:space="0" w:color="auto"/>
                        <w:right w:val="none" w:sz="0" w:space="0" w:color="auto"/>
                      </w:divBdr>
                      <w:divsChild>
                        <w:div w:id="1506628348">
                          <w:marLeft w:val="0"/>
                          <w:marRight w:val="0"/>
                          <w:marTop w:val="0"/>
                          <w:marBottom w:val="0"/>
                          <w:divBdr>
                            <w:top w:val="none" w:sz="0" w:space="0" w:color="auto"/>
                            <w:left w:val="single" w:sz="12" w:space="12" w:color="E1E9EB"/>
                            <w:bottom w:val="single" w:sz="12" w:space="0" w:color="E1E9EB"/>
                            <w:right w:val="none" w:sz="0" w:space="0" w:color="auto"/>
                          </w:divBdr>
                          <w:divsChild>
                            <w:div w:id="790979793">
                              <w:marLeft w:val="0"/>
                              <w:marRight w:val="0"/>
                              <w:marTop w:val="0"/>
                              <w:marBottom w:val="0"/>
                              <w:divBdr>
                                <w:top w:val="none" w:sz="0" w:space="0" w:color="auto"/>
                                <w:left w:val="none" w:sz="0" w:space="0" w:color="auto"/>
                                <w:bottom w:val="none" w:sz="0" w:space="0" w:color="auto"/>
                                <w:right w:val="none" w:sz="0" w:space="0" w:color="auto"/>
                              </w:divBdr>
                              <w:divsChild>
                                <w:div w:id="1955480011">
                                  <w:marLeft w:val="0"/>
                                  <w:marRight w:val="0"/>
                                  <w:marTop w:val="0"/>
                                  <w:marBottom w:val="0"/>
                                  <w:divBdr>
                                    <w:top w:val="none" w:sz="0" w:space="0" w:color="auto"/>
                                    <w:left w:val="none" w:sz="0" w:space="0" w:color="auto"/>
                                    <w:bottom w:val="none" w:sz="0" w:space="0" w:color="auto"/>
                                    <w:right w:val="none" w:sz="0" w:space="0" w:color="auto"/>
                                  </w:divBdr>
                                  <w:divsChild>
                                    <w:div w:id="11162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400595">
      <w:bodyDiv w:val="1"/>
      <w:marLeft w:val="-480"/>
      <w:marRight w:val="0"/>
      <w:marTop w:val="0"/>
      <w:marBottom w:val="0"/>
      <w:divBdr>
        <w:top w:val="none" w:sz="0" w:space="0" w:color="auto"/>
        <w:left w:val="none" w:sz="0" w:space="0" w:color="auto"/>
        <w:bottom w:val="none" w:sz="0" w:space="0" w:color="auto"/>
        <w:right w:val="none" w:sz="0" w:space="0" w:color="auto"/>
      </w:divBdr>
      <w:divsChild>
        <w:div w:id="6715951">
          <w:marLeft w:val="0"/>
          <w:marRight w:val="0"/>
          <w:marTop w:val="0"/>
          <w:marBottom w:val="0"/>
          <w:divBdr>
            <w:top w:val="none" w:sz="0" w:space="0" w:color="auto"/>
            <w:left w:val="none" w:sz="0" w:space="0" w:color="auto"/>
            <w:bottom w:val="none" w:sz="0" w:space="0" w:color="auto"/>
            <w:right w:val="none" w:sz="0" w:space="0" w:color="auto"/>
          </w:divBdr>
          <w:divsChild>
            <w:div w:id="1234001303">
              <w:marLeft w:val="0"/>
              <w:marRight w:val="0"/>
              <w:marTop w:val="0"/>
              <w:marBottom w:val="0"/>
              <w:divBdr>
                <w:top w:val="none" w:sz="0" w:space="0" w:color="auto"/>
                <w:left w:val="none" w:sz="0" w:space="0" w:color="auto"/>
                <w:bottom w:val="none" w:sz="0" w:space="0" w:color="auto"/>
                <w:right w:val="none" w:sz="0" w:space="0" w:color="auto"/>
              </w:divBdr>
              <w:divsChild>
                <w:div w:id="1588882631">
                  <w:marLeft w:val="0"/>
                  <w:marRight w:val="0"/>
                  <w:marTop w:val="0"/>
                  <w:marBottom w:val="240"/>
                  <w:divBdr>
                    <w:top w:val="none" w:sz="0" w:space="0" w:color="auto"/>
                    <w:left w:val="none" w:sz="0" w:space="0" w:color="auto"/>
                    <w:bottom w:val="none" w:sz="0" w:space="0" w:color="auto"/>
                    <w:right w:val="none" w:sz="0" w:space="0" w:color="auto"/>
                  </w:divBdr>
                  <w:divsChild>
                    <w:div w:id="1470513549">
                      <w:marLeft w:val="0"/>
                      <w:marRight w:val="0"/>
                      <w:marTop w:val="0"/>
                      <w:marBottom w:val="0"/>
                      <w:divBdr>
                        <w:top w:val="none" w:sz="0" w:space="0" w:color="auto"/>
                        <w:left w:val="none" w:sz="0" w:space="0" w:color="auto"/>
                        <w:bottom w:val="none" w:sz="0" w:space="0" w:color="auto"/>
                        <w:right w:val="none" w:sz="0" w:space="0" w:color="auto"/>
                      </w:divBdr>
                      <w:divsChild>
                        <w:div w:id="1006059140">
                          <w:marLeft w:val="0"/>
                          <w:marRight w:val="0"/>
                          <w:marTop w:val="0"/>
                          <w:marBottom w:val="0"/>
                          <w:divBdr>
                            <w:top w:val="none" w:sz="0" w:space="0" w:color="auto"/>
                            <w:left w:val="single" w:sz="12" w:space="12" w:color="E1E9EB"/>
                            <w:bottom w:val="single" w:sz="12" w:space="0" w:color="E1E9EB"/>
                            <w:right w:val="none" w:sz="0" w:space="0" w:color="auto"/>
                          </w:divBdr>
                          <w:divsChild>
                            <w:div w:id="2057272744">
                              <w:marLeft w:val="0"/>
                              <w:marRight w:val="0"/>
                              <w:marTop w:val="0"/>
                              <w:marBottom w:val="0"/>
                              <w:divBdr>
                                <w:top w:val="none" w:sz="0" w:space="0" w:color="auto"/>
                                <w:left w:val="none" w:sz="0" w:space="0" w:color="auto"/>
                                <w:bottom w:val="none" w:sz="0" w:space="0" w:color="auto"/>
                                <w:right w:val="none" w:sz="0" w:space="0" w:color="auto"/>
                              </w:divBdr>
                              <w:divsChild>
                                <w:div w:id="1077485126">
                                  <w:marLeft w:val="0"/>
                                  <w:marRight w:val="0"/>
                                  <w:marTop w:val="0"/>
                                  <w:marBottom w:val="0"/>
                                  <w:divBdr>
                                    <w:top w:val="none" w:sz="0" w:space="0" w:color="auto"/>
                                    <w:left w:val="none" w:sz="0" w:space="0" w:color="auto"/>
                                    <w:bottom w:val="none" w:sz="0" w:space="0" w:color="auto"/>
                                    <w:right w:val="none" w:sz="0" w:space="0" w:color="auto"/>
                                  </w:divBdr>
                                  <w:divsChild>
                                    <w:div w:id="798958325">
                                      <w:marLeft w:val="0"/>
                                      <w:marRight w:val="0"/>
                                      <w:marTop w:val="0"/>
                                      <w:marBottom w:val="0"/>
                                      <w:divBdr>
                                        <w:top w:val="none" w:sz="0" w:space="0" w:color="auto"/>
                                        <w:left w:val="none" w:sz="0" w:space="0" w:color="auto"/>
                                        <w:bottom w:val="none" w:sz="0" w:space="0" w:color="auto"/>
                                        <w:right w:val="none" w:sz="0" w:space="0" w:color="auto"/>
                                      </w:divBdr>
                                      <w:divsChild>
                                        <w:div w:id="493843575">
                                          <w:marLeft w:val="0"/>
                                          <w:marRight w:val="0"/>
                                          <w:marTop w:val="0"/>
                                          <w:marBottom w:val="0"/>
                                          <w:divBdr>
                                            <w:top w:val="none" w:sz="0" w:space="0" w:color="auto"/>
                                            <w:left w:val="none" w:sz="0" w:space="0" w:color="auto"/>
                                            <w:bottom w:val="none" w:sz="0" w:space="0" w:color="auto"/>
                                            <w:right w:val="none" w:sz="0" w:space="0" w:color="auto"/>
                                          </w:divBdr>
                                          <w:divsChild>
                                            <w:div w:id="5987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098466">
      <w:bodyDiv w:val="1"/>
      <w:marLeft w:val="-480"/>
      <w:marRight w:val="0"/>
      <w:marTop w:val="0"/>
      <w:marBottom w:val="0"/>
      <w:divBdr>
        <w:top w:val="none" w:sz="0" w:space="0" w:color="auto"/>
        <w:left w:val="none" w:sz="0" w:space="0" w:color="auto"/>
        <w:bottom w:val="none" w:sz="0" w:space="0" w:color="auto"/>
        <w:right w:val="none" w:sz="0" w:space="0" w:color="auto"/>
      </w:divBdr>
      <w:divsChild>
        <w:div w:id="875309389">
          <w:marLeft w:val="0"/>
          <w:marRight w:val="0"/>
          <w:marTop w:val="0"/>
          <w:marBottom w:val="0"/>
          <w:divBdr>
            <w:top w:val="none" w:sz="0" w:space="0" w:color="auto"/>
            <w:left w:val="none" w:sz="0" w:space="0" w:color="auto"/>
            <w:bottom w:val="none" w:sz="0" w:space="0" w:color="auto"/>
            <w:right w:val="none" w:sz="0" w:space="0" w:color="auto"/>
          </w:divBdr>
          <w:divsChild>
            <w:div w:id="1012339384">
              <w:marLeft w:val="0"/>
              <w:marRight w:val="0"/>
              <w:marTop w:val="0"/>
              <w:marBottom w:val="0"/>
              <w:divBdr>
                <w:top w:val="none" w:sz="0" w:space="0" w:color="auto"/>
                <w:left w:val="none" w:sz="0" w:space="0" w:color="auto"/>
                <w:bottom w:val="none" w:sz="0" w:space="0" w:color="auto"/>
                <w:right w:val="none" w:sz="0" w:space="0" w:color="auto"/>
              </w:divBdr>
              <w:divsChild>
                <w:div w:id="105077141">
                  <w:marLeft w:val="0"/>
                  <w:marRight w:val="0"/>
                  <w:marTop w:val="0"/>
                  <w:marBottom w:val="240"/>
                  <w:divBdr>
                    <w:top w:val="none" w:sz="0" w:space="0" w:color="auto"/>
                    <w:left w:val="none" w:sz="0" w:space="0" w:color="auto"/>
                    <w:bottom w:val="none" w:sz="0" w:space="0" w:color="auto"/>
                    <w:right w:val="none" w:sz="0" w:space="0" w:color="auto"/>
                  </w:divBdr>
                  <w:divsChild>
                    <w:div w:id="775095900">
                      <w:marLeft w:val="0"/>
                      <w:marRight w:val="0"/>
                      <w:marTop w:val="0"/>
                      <w:marBottom w:val="0"/>
                      <w:divBdr>
                        <w:top w:val="none" w:sz="0" w:space="0" w:color="auto"/>
                        <w:left w:val="none" w:sz="0" w:space="0" w:color="auto"/>
                        <w:bottom w:val="none" w:sz="0" w:space="0" w:color="auto"/>
                        <w:right w:val="none" w:sz="0" w:space="0" w:color="auto"/>
                      </w:divBdr>
                      <w:divsChild>
                        <w:div w:id="1985500394">
                          <w:marLeft w:val="0"/>
                          <w:marRight w:val="0"/>
                          <w:marTop w:val="0"/>
                          <w:marBottom w:val="0"/>
                          <w:divBdr>
                            <w:top w:val="none" w:sz="0" w:space="0" w:color="auto"/>
                            <w:left w:val="single" w:sz="12" w:space="12" w:color="E1E9EB"/>
                            <w:bottom w:val="single" w:sz="12" w:space="0" w:color="E1E9EB"/>
                            <w:right w:val="none" w:sz="0" w:space="0" w:color="auto"/>
                          </w:divBdr>
                          <w:divsChild>
                            <w:div w:id="1271545807">
                              <w:marLeft w:val="0"/>
                              <w:marRight w:val="0"/>
                              <w:marTop w:val="0"/>
                              <w:marBottom w:val="0"/>
                              <w:divBdr>
                                <w:top w:val="none" w:sz="0" w:space="0" w:color="auto"/>
                                <w:left w:val="none" w:sz="0" w:space="0" w:color="auto"/>
                                <w:bottom w:val="none" w:sz="0" w:space="0" w:color="auto"/>
                                <w:right w:val="none" w:sz="0" w:space="0" w:color="auto"/>
                              </w:divBdr>
                              <w:divsChild>
                                <w:div w:id="1167862558">
                                  <w:marLeft w:val="0"/>
                                  <w:marRight w:val="0"/>
                                  <w:marTop w:val="0"/>
                                  <w:marBottom w:val="0"/>
                                  <w:divBdr>
                                    <w:top w:val="none" w:sz="0" w:space="0" w:color="auto"/>
                                    <w:left w:val="none" w:sz="0" w:space="0" w:color="auto"/>
                                    <w:bottom w:val="none" w:sz="0" w:space="0" w:color="auto"/>
                                    <w:right w:val="none" w:sz="0" w:space="0" w:color="auto"/>
                                  </w:divBdr>
                                </w:div>
                                <w:div w:id="782697003">
                                  <w:marLeft w:val="0"/>
                                  <w:marRight w:val="0"/>
                                  <w:marTop w:val="0"/>
                                  <w:marBottom w:val="0"/>
                                  <w:divBdr>
                                    <w:top w:val="none" w:sz="0" w:space="0" w:color="auto"/>
                                    <w:left w:val="none" w:sz="0" w:space="0" w:color="auto"/>
                                    <w:bottom w:val="none" w:sz="0" w:space="0" w:color="auto"/>
                                    <w:right w:val="none" w:sz="0" w:space="0" w:color="auto"/>
                                  </w:divBdr>
                                </w:div>
                                <w:div w:id="575434750">
                                  <w:marLeft w:val="0"/>
                                  <w:marRight w:val="0"/>
                                  <w:marTop w:val="0"/>
                                  <w:marBottom w:val="0"/>
                                  <w:divBdr>
                                    <w:top w:val="none" w:sz="0" w:space="0" w:color="auto"/>
                                    <w:left w:val="none" w:sz="0" w:space="0" w:color="auto"/>
                                    <w:bottom w:val="none" w:sz="0" w:space="0" w:color="auto"/>
                                    <w:right w:val="none" w:sz="0" w:space="0" w:color="auto"/>
                                  </w:divBdr>
                                </w:div>
                                <w:div w:id="2335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160192">
      <w:bodyDiv w:val="1"/>
      <w:marLeft w:val="-480"/>
      <w:marRight w:val="0"/>
      <w:marTop w:val="0"/>
      <w:marBottom w:val="0"/>
      <w:divBdr>
        <w:top w:val="none" w:sz="0" w:space="0" w:color="auto"/>
        <w:left w:val="none" w:sz="0" w:space="0" w:color="auto"/>
        <w:bottom w:val="none" w:sz="0" w:space="0" w:color="auto"/>
        <w:right w:val="none" w:sz="0" w:space="0" w:color="auto"/>
      </w:divBdr>
      <w:divsChild>
        <w:div w:id="1891381125">
          <w:marLeft w:val="0"/>
          <w:marRight w:val="0"/>
          <w:marTop w:val="0"/>
          <w:marBottom w:val="0"/>
          <w:divBdr>
            <w:top w:val="none" w:sz="0" w:space="0" w:color="auto"/>
            <w:left w:val="none" w:sz="0" w:space="0" w:color="auto"/>
            <w:bottom w:val="none" w:sz="0" w:space="0" w:color="auto"/>
            <w:right w:val="none" w:sz="0" w:space="0" w:color="auto"/>
          </w:divBdr>
          <w:divsChild>
            <w:div w:id="1807745664">
              <w:marLeft w:val="0"/>
              <w:marRight w:val="0"/>
              <w:marTop w:val="0"/>
              <w:marBottom w:val="0"/>
              <w:divBdr>
                <w:top w:val="none" w:sz="0" w:space="0" w:color="auto"/>
                <w:left w:val="none" w:sz="0" w:space="0" w:color="auto"/>
                <w:bottom w:val="none" w:sz="0" w:space="0" w:color="auto"/>
                <w:right w:val="none" w:sz="0" w:space="0" w:color="auto"/>
              </w:divBdr>
              <w:divsChild>
                <w:div w:id="1910574484">
                  <w:marLeft w:val="0"/>
                  <w:marRight w:val="0"/>
                  <w:marTop w:val="0"/>
                  <w:marBottom w:val="240"/>
                  <w:divBdr>
                    <w:top w:val="none" w:sz="0" w:space="0" w:color="auto"/>
                    <w:left w:val="none" w:sz="0" w:space="0" w:color="auto"/>
                    <w:bottom w:val="none" w:sz="0" w:space="0" w:color="auto"/>
                    <w:right w:val="none" w:sz="0" w:space="0" w:color="auto"/>
                  </w:divBdr>
                  <w:divsChild>
                    <w:div w:id="1165167403">
                      <w:marLeft w:val="0"/>
                      <w:marRight w:val="0"/>
                      <w:marTop w:val="0"/>
                      <w:marBottom w:val="0"/>
                      <w:divBdr>
                        <w:top w:val="none" w:sz="0" w:space="0" w:color="auto"/>
                        <w:left w:val="none" w:sz="0" w:space="0" w:color="auto"/>
                        <w:bottom w:val="none" w:sz="0" w:space="0" w:color="auto"/>
                        <w:right w:val="none" w:sz="0" w:space="0" w:color="auto"/>
                      </w:divBdr>
                      <w:divsChild>
                        <w:div w:id="821122770">
                          <w:marLeft w:val="0"/>
                          <w:marRight w:val="0"/>
                          <w:marTop w:val="0"/>
                          <w:marBottom w:val="0"/>
                          <w:divBdr>
                            <w:top w:val="none" w:sz="0" w:space="0" w:color="auto"/>
                            <w:left w:val="single" w:sz="12" w:space="12" w:color="E1E9EB"/>
                            <w:bottom w:val="single" w:sz="12" w:space="0" w:color="E1E9EB"/>
                            <w:right w:val="none" w:sz="0" w:space="0" w:color="auto"/>
                          </w:divBdr>
                          <w:divsChild>
                            <w:div w:id="572817228">
                              <w:marLeft w:val="0"/>
                              <w:marRight w:val="0"/>
                              <w:marTop w:val="0"/>
                              <w:marBottom w:val="0"/>
                              <w:divBdr>
                                <w:top w:val="none" w:sz="0" w:space="0" w:color="auto"/>
                                <w:left w:val="none" w:sz="0" w:space="0" w:color="auto"/>
                                <w:bottom w:val="none" w:sz="0" w:space="0" w:color="auto"/>
                                <w:right w:val="none" w:sz="0" w:space="0" w:color="auto"/>
                              </w:divBdr>
                              <w:divsChild>
                                <w:div w:id="1705708525">
                                  <w:marLeft w:val="0"/>
                                  <w:marRight w:val="0"/>
                                  <w:marTop w:val="0"/>
                                  <w:marBottom w:val="0"/>
                                  <w:divBdr>
                                    <w:top w:val="none" w:sz="0" w:space="0" w:color="auto"/>
                                    <w:left w:val="none" w:sz="0" w:space="0" w:color="auto"/>
                                    <w:bottom w:val="none" w:sz="0" w:space="0" w:color="auto"/>
                                    <w:right w:val="none" w:sz="0" w:space="0" w:color="auto"/>
                                  </w:divBdr>
                                </w:div>
                                <w:div w:id="37168730">
                                  <w:marLeft w:val="0"/>
                                  <w:marRight w:val="0"/>
                                  <w:marTop w:val="0"/>
                                  <w:marBottom w:val="0"/>
                                  <w:divBdr>
                                    <w:top w:val="none" w:sz="0" w:space="0" w:color="auto"/>
                                    <w:left w:val="none" w:sz="0" w:space="0" w:color="auto"/>
                                    <w:bottom w:val="none" w:sz="0" w:space="0" w:color="auto"/>
                                    <w:right w:val="none" w:sz="0" w:space="0" w:color="auto"/>
                                  </w:divBdr>
                                </w:div>
                                <w:div w:id="18428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19508">
      <w:bodyDiv w:val="1"/>
      <w:marLeft w:val="-480"/>
      <w:marRight w:val="0"/>
      <w:marTop w:val="0"/>
      <w:marBottom w:val="0"/>
      <w:divBdr>
        <w:top w:val="none" w:sz="0" w:space="0" w:color="auto"/>
        <w:left w:val="none" w:sz="0" w:space="0" w:color="auto"/>
        <w:bottom w:val="none" w:sz="0" w:space="0" w:color="auto"/>
        <w:right w:val="none" w:sz="0" w:space="0" w:color="auto"/>
      </w:divBdr>
      <w:divsChild>
        <w:div w:id="1671638990">
          <w:marLeft w:val="0"/>
          <w:marRight w:val="0"/>
          <w:marTop w:val="0"/>
          <w:marBottom w:val="0"/>
          <w:divBdr>
            <w:top w:val="none" w:sz="0" w:space="0" w:color="auto"/>
            <w:left w:val="none" w:sz="0" w:space="0" w:color="auto"/>
            <w:bottom w:val="none" w:sz="0" w:space="0" w:color="auto"/>
            <w:right w:val="none" w:sz="0" w:space="0" w:color="auto"/>
          </w:divBdr>
          <w:divsChild>
            <w:div w:id="2009212550">
              <w:marLeft w:val="0"/>
              <w:marRight w:val="0"/>
              <w:marTop w:val="0"/>
              <w:marBottom w:val="0"/>
              <w:divBdr>
                <w:top w:val="none" w:sz="0" w:space="0" w:color="auto"/>
                <w:left w:val="none" w:sz="0" w:space="0" w:color="auto"/>
                <w:bottom w:val="none" w:sz="0" w:space="0" w:color="auto"/>
                <w:right w:val="none" w:sz="0" w:space="0" w:color="auto"/>
              </w:divBdr>
              <w:divsChild>
                <w:div w:id="1433548457">
                  <w:marLeft w:val="0"/>
                  <w:marRight w:val="0"/>
                  <w:marTop w:val="0"/>
                  <w:marBottom w:val="240"/>
                  <w:divBdr>
                    <w:top w:val="none" w:sz="0" w:space="0" w:color="auto"/>
                    <w:left w:val="none" w:sz="0" w:space="0" w:color="auto"/>
                    <w:bottom w:val="none" w:sz="0" w:space="0" w:color="auto"/>
                    <w:right w:val="none" w:sz="0" w:space="0" w:color="auto"/>
                  </w:divBdr>
                  <w:divsChild>
                    <w:div w:id="1686515938">
                      <w:marLeft w:val="0"/>
                      <w:marRight w:val="0"/>
                      <w:marTop w:val="0"/>
                      <w:marBottom w:val="0"/>
                      <w:divBdr>
                        <w:top w:val="none" w:sz="0" w:space="0" w:color="auto"/>
                        <w:left w:val="none" w:sz="0" w:space="0" w:color="auto"/>
                        <w:bottom w:val="none" w:sz="0" w:space="0" w:color="auto"/>
                        <w:right w:val="none" w:sz="0" w:space="0" w:color="auto"/>
                      </w:divBdr>
                      <w:divsChild>
                        <w:div w:id="721561375">
                          <w:marLeft w:val="0"/>
                          <w:marRight w:val="0"/>
                          <w:marTop w:val="0"/>
                          <w:marBottom w:val="0"/>
                          <w:divBdr>
                            <w:top w:val="none" w:sz="0" w:space="0" w:color="auto"/>
                            <w:left w:val="single" w:sz="12" w:space="12" w:color="E1E9EB"/>
                            <w:bottom w:val="single" w:sz="12" w:space="0" w:color="E1E9EB"/>
                            <w:right w:val="none" w:sz="0" w:space="0" w:color="auto"/>
                          </w:divBdr>
                          <w:divsChild>
                            <w:div w:id="505706572">
                              <w:marLeft w:val="0"/>
                              <w:marRight w:val="0"/>
                              <w:marTop w:val="0"/>
                              <w:marBottom w:val="0"/>
                              <w:divBdr>
                                <w:top w:val="none" w:sz="0" w:space="0" w:color="auto"/>
                                <w:left w:val="none" w:sz="0" w:space="0" w:color="auto"/>
                                <w:bottom w:val="none" w:sz="0" w:space="0" w:color="auto"/>
                                <w:right w:val="none" w:sz="0" w:space="0" w:color="auto"/>
                              </w:divBdr>
                              <w:divsChild>
                                <w:div w:id="950356603">
                                  <w:marLeft w:val="0"/>
                                  <w:marRight w:val="0"/>
                                  <w:marTop w:val="0"/>
                                  <w:marBottom w:val="0"/>
                                  <w:divBdr>
                                    <w:top w:val="none" w:sz="0" w:space="0" w:color="auto"/>
                                    <w:left w:val="none" w:sz="0" w:space="0" w:color="auto"/>
                                    <w:bottom w:val="none" w:sz="0" w:space="0" w:color="auto"/>
                                    <w:right w:val="none" w:sz="0" w:space="0" w:color="auto"/>
                                  </w:divBdr>
                                </w:div>
                                <w:div w:id="1802071639">
                                  <w:marLeft w:val="0"/>
                                  <w:marRight w:val="0"/>
                                  <w:marTop w:val="0"/>
                                  <w:marBottom w:val="0"/>
                                  <w:divBdr>
                                    <w:top w:val="none" w:sz="0" w:space="0" w:color="auto"/>
                                    <w:left w:val="none" w:sz="0" w:space="0" w:color="auto"/>
                                    <w:bottom w:val="none" w:sz="0" w:space="0" w:color="auto"/>
                                    <w:right w:val="none" w:sz="0" w:space="0" w:color="auto"/>
                                  </w:divBdr>
                                </w:div>
                                <w:div w:id="990669702">
                                  <w:marLeft w:val="0"/>
                                  <w:marRight w:val="0"/>
                                  <w:marTop w:val="0"/>
                                  <w:marBottom w:val="0"/>
                                  <w:divBdr>
                                    <w:top w:val="none" w:sz="0" w:space="0" w:color="auto"/>
                                    <w:left w:val="none" w:sz="0" w:space="0" w:color="auto"/>
                                    <w:bottom w:val="none" w:sz="0" w:space="0" w:color="auto"/>
                                    <w:right w:val="none" w:sz="0" w:space="0" w:color="auto"/>
                                  </w:divBdr>
                                </w:div>
                                <w:div w:id="704062886">
                                  <w:marLeft w:val="0"/>
                                  <w:marRight w:val="0"/>
                                  <w:marTop w:val="0"/>
                                  <w:marBottom w:val="0"/>
                                  <w:divBdr>
                                    <w:top w:val="none" w:sz="0" w:space="0" w:color="auto"/>
                                    <w:left w:val="none" w:sz="0" w:space="0" w:color="auto"/>
                                    <w:bottom w:val="none" w:sz="0" w:space="0" w:color="auto"/>
                                    <w:right w:val="none" w:sz="0" w:space="0" w:color="auto"/>
                                  </w:divBdr>
                                </w:div>
                                <w:div w:id="1544632395">
                                  <w:marLeft w:val="0"/>
                                  <w:marRight w:val="0"/>
                                  <w:marTop w:val="0"/>
                                  <w:marBottom w:val="0"/>
                                  <w:divBdr>
                                    <w:top w:val="none" w:sz="0" w:space="0" w:color="auto"/>
                                    <w:left w:val="none" w:sz="0" w:space="0" w:color="auto"/>
                                    <w:bottom w:val="none" w:sz="0" w:space="0" w:color="auto"/>
                                    <w:right w:val="none" w:sz="0" w:space="0" w:color="auto"/>
                                  </w:divBdr>
                                </w:div>
                                <w:div w:id="791435024">
                                  <w:marLeft w:val="0"/>
                                  <w:marRight w:val="0"/>
                                  <w:marTop w:val="0"/>
                                  <w:marBottom w:val="0"/>
                                  <w:divBdr>
                                    <w:top w:val="none" w:sz="0" w:space="0" w:color="auto"/>
                                    <w:left w:val="none" w:sz="0" w:space="0" w:color="auto"/>
                                    <w:bottom w:val="none" w:sz="0" w:space="0" w:color="auto"/>
                                    <w:right w:val="none" w:sz="0" w:space="0" w:color="auto"/>
                                  </w:divBdr>
                                </w:div>
                                <w:div w:id="665940338">
                                  <w:marLeft w:val="0"/>
                                  <w:marRight w:val="0"/>
                                  <w:marTop w:val="0"/>
                                  <w:marBottom w:val="0"/>
                                  <w:divBdr>
                                    <w:top w:val="none" w:sz="0" w:space="0" w:color="auto"/>
                                    <w:left w:val="none" w:sz="0" w:space="0" w:color="auto"/>
                                    <w:bottom w:val="none" w:sz="0" w:space="0" w:color="auto"/>
                                    <w:right w:val="none" w:sz="0" w:space="0" w:color="auto"/>
                                  </w:divBdr>
                                </w:div>
                                <w:div w:id="548686103">
                                  <w:marLeft w:val="0"/>
                                  <w:marRight w:val="0"/>
                                  <w:marTop w:val="0"/>
                                  <w:marBottom w:val="0"/>
                                  <w:divBdr>
                                    <w:top w:val="none" w:sz="0" w:space="0" w:color="auto"/>
                                    <w:left w:val="none" w:sz="0" w:space="0" w:color="auto"/>
                                    <w:bottom w:val="none" w:sz="0" w:space="0" w:color="auto"/>
                                    <w:right w:val="none" w:sz="0" w:space="0" w:color="auto"/>
                                  </w:divBdr>
                                  <w:divsChild>
                                    <w:div w:id="565646028">
                                      <w:marLeft w:val="0"/>
                                      <w:marRight w:val="0"/>
                                      <w:marTop w:val="0"/>
                                      <w:marBottom w:val="0"/>
                                      <w:divBdr>
                                        <w:top w:val="none" w:sz="0" w:space="0" w:color="auto"/>
                                        <w:left w:val="none" w:sz="0" w:space="0" w:color="auto"/>
                                        <w:bottom w:val="none" w:sz="0" w:space="0" w:color="auto"/>
                                        <w:right w:val="none" w:sz="0" w:space="0" w:color="auto"/>
                                      </w:divBdr>
                                      <w:divsChild>
                                        <w:div w:id="15610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748614">
      <w:bodyDiv w:val="1"/>
      <w:marLeft w:val="-480"/>
      <w:marRight w:val="0"/>
      <w:marTop w:val="0"/>
      <w:marBottom w:val="0"/>
      <w:divBdr>
        <w:top w:val="none" w:sz="0" w:space="0" w:color="auto"/>
        <w:left w:val="none" w:sz="0" w:space="0" w:color="auto"/>
        <w:bottom w:val="none" w:sz="0" w:space="0" w:color="auto"/>
        <w:right w:val="none" w:sz="0" w:space="0" w:color="auto"/>
      </w:divBdr>
      <w:divsChild>
        <w:div w:id="1196651719">
          <w:marLeft w:val="0"/>
          <w:marRight w:val="0"/>
          <w:marTop w:val="0"/>
          <w:marBottom w:val="0"/>
          <w:divBdr>
            <w:top w:val="none" w:sz="0" w:space="0" w:color="auto"/>
            <w:left w:val="none" w:sz="0" w:space="0" w:color="auto"/>
            <w:bottom w:val="none" w:sz="0" w:space="0" w:color="auto"/>
            <w:right w:val="none" w:sz="0" w:space="0" w:color="auto"/>
          </w:divBdr>
          <w:divsChild>
            <w:div w:id="2144275749">
              <w:marLeft w:val="0"/>
              <w:marRight w:val="0"/>
              <w:marTop w:val="0"/>
              <w:marBottom w:val="0"/>
              <w:divBdr>
                <w:top w:val="none" w:sz="0" w:space="0" w:color="auto"/>
                <w:left w:val="none" w:sz="0" w:space="0" w:color="auto"/>
                <w:bottom w:val="none" w:sz="0" w:space="0" w:color="auto"/>
                <w:right w:val="none" w:sz="0" w:space="0" w:color="auto"/>
              </w:divBdr>
              <w:divsChild>
                <w:div w:id="442959946">
                  <w:marLeft w:val="0"/>
                  <w:marRight w:val="0"/>
                  <w:marTop w:val="0"/>
                  <w:marBottom w:val="240"/>
                  <w:divBdr>
                    <w:top w:val="none" w:sz="0" w:space="0" w:color="auto"/>
                    <w:left w:val="none" w:sz="0" w:space="0" w:color="auto"/>
                    <w:bottom w:val="none" w:sz="0" w:space="0" w:color="auto"/>
                    <w:right w:val="none" w:sz="0" w:space="0" w:color="auto"/>
                  </w:divBdr>
                  <w:divsChild>
                    <w:div w:id="1775588759">
                      <w:marLeft w:val="0"/>
                      <w:marRight w:val="0"/>
                      <w:marTop w:val="0"/>
                      <w:marBottom w:val="0"/>
                      <w:divBdr>
                        <w:top w:val="none" w:sz="0" w:space="0" w:color="auto"/>
                        <w:left w:val="none" w:sz="0" w:space="0" w:color="auto"/>
                        <w:bottom w:val="none" w:sz="0" w:space="0" w:color="auto"/>
                        <w:right w:val="none" w:sz="0" w:space="0" w:color="auto"/>
                      </w:divBdr>
                      <w:divsChild>
                        <w:div w:id="1277372618">
                          <w:marLeft w:val="0"/>
                          <w:marRight w:val="0"/>
                          <w:marTop w:val="0"/>
                          <w:marBottom w:val="0"/>
                          <w:divBdr>
                            <w:top w:val="none" w:sz="0" w:space="0" w:color="auto"/>
                            <w:left w:val="single" w:sz="12" w:space="12" w:color="E1E9EB"/>
                            <w:bottom w:val="single" w:sz="12" w:space="0" w:color="E1E9EB"/>
                            <w:right w:val="none" w:sz="0" w:space="0" w:color="auto"/>
                          </w:divBdr>
                          <w:divsChild>
                            <w:div w:id="700084747">
                              <w:marLeft w:val="0"/>
                              <w:marRight w:val="0"/>
                              <w:marTop w:val="0"/>
                              <w:marBottom w:val="0"/>
                              <w:divBdr>
                                <w:top w:val="none" w:sz="0" w:space="0" w:color="auto"/>
                                <w:left w:val="none" w:sz="0" w:space="0" w:color="auto"/>
                                <w:bottom w:val="none" w:sz="0" w:space="0" w:color="auto"/>
                                <w:right w:val="none" w:sz="0" w:space="0" w:color="auto"/>
                              </w:divBdr>
                              <w:divsChild>
                                <w:div w:id="19822331">
                                  <w:marLeft w:val="0"/>
                                  <w:marRight w:val="0"/>
                                  <w:marTop w:val="0"/>
                                  <w:marBottom w:val="0"/>
                                  <w:divBdr>
                                    <w:top w:val="none" w:sz="0" w:space="0" w:color="auto"/>
                                    <w:left w:val="none" w:sz="0" w:space="0" w:color="auto"/>
                                    <w:bottom w:val="none" w:sz="0" w:space="0" w:color="auto"/>
                                    <w:right w:val="none" w:sz="0" w:space="0" w:color="auto"/>
                                  </w:divBdr>
                                  <w:divsChild>
                                    <w:div w:id="1395591813">
                                      <w:marLeft w:val="0"/>
                                      <w:marRight w:val="0"/>
                                      <w:marTop w:val="0"/>
                                      <w:marBottom w:val="0"/>
                                      <w:divBdr>
                                        <w:top w:val="none" w:sz="0" w:space="0" w:color="auto"/>
                                        <w:left w:val="none" w:sz="0" w:space="0" w:color="auto"/>
                                        <w:bottom w:val="none" w:sz="0" w:space="0" w:color="auto"/>
                                        <w:right w:val="none" w:sz="0" w:space="0" w:color="auto"/>
                                      </w:divBdr>
                                    </w:div>
                                    <w:div w:id="477765690">
                                      <w:marLeft w:val="0"/>
                                      <w:marRight w:val="0"/>
                                      <w:marTop w:val="0"/>
                                      <w:marBottom w:val="0"/>
                                      <w:divBdr>
                                        <w:top w:val="none" w:sz="0" w:space="0" w:color="auto"/>
                                        <w:left w:val="none" w:sz="0" w:space="0" w:color="auto"/>
                                        <w:bottom w:val="none" w:sz="0" w:space="0" w:color="auto"/>
                                        <w:right w:val="none" w:sz="0" w:space="0" w:color="auto"/>
                                      </w:divBdr>
                                    </w:div>
                                    <w:div w:id="18774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220130">
      <w:bodyDiv w:val="1"/>
      <w:marLeft w:val="-480"/>
      <w:marRight w:val="0"/>
      <w:marTop w:val="0"/>
      <w:marBottom w:val="0"/>
      <w:divBdr>
        <w:top w:val="none" w:sz="0" w:space="0" w:color="auto"/>
        <w:left w:val="none" w:sz="0" w:space="0" w:color="auto"/>
        <w:bottom w:val="none" w:sz="0" w:space="0" w:color="auto"/>
        <w:right w:val="none" w:sz="0" w:space="0" w:color="auto"/>
      </w:divBdr>
      <w:divsChild>
        <w:div w:id="1507743898">
          <w:marLeft w:val="0"/>
          <w:marRight w:val="0"/>
          <w:marTop w:val="0"/>
          <w:marBottom w:val="0"/>
          <w:divBdr>
            <w:top w:val="none" w:sz="0" w:space="0" w:color="auto"/>
            <w:left w:val="none" w:sz="0" w:space="0" w:color="auto"/>
            <w:bottom w:val="none" w:sz="0" w:space="0" w:color="auto"/>
            <w:right w:val="none" w:sz="0" w:space="0" w:color="auto"/>
          </w:divBdr>
          <w:divsChild>
            <w:div w:id="171648322">
              <w:marLeft w:val="0"/>
              <w:marRight w:val="0"/>
              <w:marTop w:val="0"/>
              <w:marBottom w:val="0"/>
              <w:divBdr>
                <w:top w:val="none" w:sz="0" w:space="0" w:color="auto"/>
                <w:left w:val="none" w:sz="0" w:space="0" w:color="auto"/>
                <w:bottom w:val="none" w:sz="0" w:space="0" w:color="auto"/>
                <w:right w:val="none" w:sz="0" w:space="0" w:color="auto"/>
              </w:divBdr>
              <w:divsChild>
                <w:div w:id="395053811">
                  <w:marLeft w:val="0"/>
                  <w:marRight w:val="0"/>
                  <w:marTop w:val="0"/>
                  <w:marBottom w:val="240"/>
                  <w:divBdr>
                    <w:top w:val="none" w:sz="0" w:space="0" w:color="auto"/>
                    <w:left w:val="none" w:sz="0" w:space="0" w:color="auto"/>
                    <w:bottom w:val="none" w:sz="0" w:space="0" w:color="auto"/>
                    <w:right w:val="none" w:sz="0" w:space="0" w:color="auto"/>
                  </w:divBdr>
                  <w:divsChild>
                    <w:div w:id="2042851406">
                      <w:marLeft w:val="0"/>
                      <w:marRight w:val="0"/>
                      <w:marTop w:val="0"/>
                      <w:marBottom w:val="0"/>
                      <w:divBdr>
                        <w:top w:val="none" w:sz="0" w:space="0" w:color="auto"/>
                        <w:left w:val="none" w:sz="0" w:space="0" w:color="auto"/>
                        <w:bottom w:val="none" w:sz="0" w:space="0" w:color="auto"/>
                        <w:right w:val="none" w:sz="0" w:space="0" w:color="auto"/>
                      </w:divBdr>
                      <w:divsChild>
                        <w:div w:id="150483808">
                          <w:marLeft w:val="0"/>
                          <w:marRight w:val="0"/>
                          <w:marTop w:val="0"/>
                          <w:marBottom w:val="0"/>
                          <w:divBdr>
                            <w:top w:val="none" w:sz="0" w:space="0" w:color="auto"/>
                            <w:left w:val="single" w:sz="12" w:space="12" w:color="E1E9EB"/>
                            <w:bottom w:val="single" w:sz="12" w:space="0" w:color="E1E9EB"/>
                            <w:right w:val="none" w:sz="0" w:space="0" w:color="auto"/>
                          </w:divBdr>
                          <w:divsChild>
                            <w:div w:id="1910191511">
                              <w:marLeft w:val="0"/>
                              <w:marRight w:val="0"/>
                              <w:marTop w:val="0"/>
                              <w:marBottom w:val="0"/>
                              <w:divBdr>
                                <w:top w:val="none" w:sz="0" w:space="0" w:color="auto"/>
                                <w:left w:val="none" w:sz="0" w:space="0" w:color="auto"/>
                                <w:bottom w:val="none" w:sz="0" w:space="0" w:color="auto"/>
                                <w:right w:val="none" w:sz="0" w:space="0" w:color="auto"/>
                              </w:divBdr>
                              <w:divsChild>
                                <w:div w:id="188958257">
                                  <w:marLeft w:val="0"/>
                                  <w:marRight w:val="0"/>
                                  <w:marTop w:val="0"/>
                                  <w:marBottom w:val="0"/>
                                  <w:divBdr>
                                    <w:top w:val="none" w:sz="0" w:space="0" w:color="auto"/>
                                    <w:left w:val="none" w:sz="0" w:space="0" w:color="auto"/>
                                    <w:bottom w:val="none" w:sz="0" w:space="0" w:color="auto"/>
                                    <w:right w:val="none" w:sz="0" w:space="0" w:color="auto"/>
                                  </w:divBdr>
                                </w:div>
                                <w:div w:id="1490097997">
                                  <w:marLeft w:val="0"/>
                                  <w:marRight w:val="0"/>
                                  <w:marTop w:val="0"/>
                                  <w:marBottom w:val="0"/>
                                  <w:divBdr>
                                    <w:top w:val="none" w:sz="0" w:space="0" w:color="auto"/>
                                    <w:left w:val="none" w:sz="0" w:space="0" w:color="auto"/>
                                    <w:bottom w:val="none" w:sz="0" w:space="0" w:color="auto"/>
                                    <w:right w:val="none" w:sz="0" w:space="0" w:color="auto"/>
                                  </w:divBdr>
                                </w:div>
                                <w:div w:id="1646619159">
                                  <w:marLeft w:val="0"/>
                                  <w:marRight w:val="0"/>
                                  <w:marTop w:val="0"/>
                                  <w:marBottom w:val="0"/>
                                  <w:divBdr>
                                    <w:top w:val="none" w:sz="0" w:space="0" w:color="auto"/>
                                    <w:left w:val="none" w:sz="0" w:space="0" w:color="auto"/>
                                    <w:bottom w:val="none" w:sz="0" w:space="0" w:color="auto"/>
                                    <w:right w:val="none" w:sz="0" w:space="0" w:color="auto"/>
                                  </w:divBdr>
                                </w:div>
                                <w:div w:id="341788494">
                                  <w:marLeft w:val="0"/>
                                  <w:marRight w:val="0"/>
                                  <w:marTop w:val="0"/>
                                  <w:marBottom w:val="0"/>
                                  <w:divBdr>
                                    <w:top w:val="none" w:sz="0" w:space="0" w:color="auto"/>
                                    <w:left w:val="none" w:sz="0" w:space="0" w:color="auto"/>
                                    <w:bottom w:val="none" w:sz="0" w:space="0" w:color="auto"/>
                                    <w:right w:val="none" w:sz="0" w:space="0" w:color="auto"/>
                                  </w:divBdr>
                                </w:div>
                                <w:div w:id="314338420">
                                  <w:marLeft w:val="0"/>
                                  <w:marRight w:val="0"/>
                                  <w:marTop w:val="0"/>
                                  <w:marBottom w:val="0"/>
                                  <w:divBdr>
                                    <w:top w:val="none" w:sz="0" w:space="0" w:color="auto"/>
                                    <w:left w:val="none" w:sz="0" w:space="0" w:color="auto"/>
                                    <w:bottom w:val="none" w:sz="0" w:space="0" w:color="auto"/>
                                    <w:right w:val="none" w:sz="0" w:space="0" w:color="auto"/>
                                  </w:divBdr>
                                </w:div>
                                <w:div w:id="9266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057463">
      <w:bodyDiv w:val="1"/>
      <w:marLeft w:val="-480"/>
      <w:marRight w:val="0"/>
      <w:marTop w:val="0"/>
      <w:marBottom w:val="0"/>
      <w:divBdr>
        <w:top w:val="none" w:sz="0" w:space="0" w:color="auto"/>
        <w:left w:val="none" w:sz="0" w:space="0" w:color="auto"/>
        <w:bottom w:val="none" w:sz="0" w:space="0" w:color="auto"/>
        <w:right w:val="none" w:sz="0" w:space="0" w:color="auto"/>
      </w:divBdr>
      <w:divsChild>
        <w:div w:id="1804080811">
          <w:marLeft w:val="0"/>
          <w:marRight w:val="0"/>
          <w:marTop w:val="0"/>
          <w:marBottom w:val="0"/>
          <w:divBdr>
            <w:top w:val="none" w:sz="0" w:space="0" w:color="auto"/>
            <w:left w:val="none" w:sz="0" w:space="0" w:color="auto"/>
            <w:bottom w:val="none" w:sz="0" w:space="0" w:color="auto"/>
            <w:right w:val="none" w:sz="0" w:space="0" w:color="auto"/>
          </w:divBdr>
          <w:divsChild>
            <w:div w:id="725370931">
              <w:marLeft w:val="0"/>
              <w:marRight w:val="0"/>
              <w:marTop w:val="0"/>
              <w:marBottom w:val="0"/>
              <w:divBdr>
                <w:top w:val="none" w:sz="0" w:space="0" w:color="auto"/>
                <w:left w:val="none" w:sz="0" w:space="0" w:color="auto"/>
                <w:bottom w:val="none" w:sz="0" w:space="0" w:color="auto"/>
                <w:right w:val="none" w:sz="0" w:space="0" w:color="auto"/>
              </w:divBdr>
              <w:divsChild>
                <w:div w:id="411899109">
                  <w:marLeft w:val="0"/>
                  <w:marRight w:val="0"/>
                  <w:marTop w:val="0"/>
                  <w:marBottom w:val="240"/>
                  <w:divBdr>
                    <w:top w:val="none" w:sz="0" w:space="0" w:color="auto"/>
                    <w:left w:val="none" w:sz="0" w:space="0" w:color="auto"/>
                    <w:bottom w:val="none" w:sz="0" w:space="0" w:color="auto"/>
                    <w:right w:val="none" w:sz="0" w:space="0" w:color="auto"/>
                  </w:divBdr>
                  <w:divsChild>
                    <w:div w:id="1539201167">
                      <w:marLeft w:val="0"/>
                      <w:marRight w:val="0"/>
                      <w:marTop w:val="0"/>
                      <w:marBottom w:val="0"/>
                      <w:divBdr>
                        <w:top w:val="none" w:sz="0" w:space="0" w:color="auto"/>
                        <w:left w:val="none" w:sz="0" w:space="0" w:color="auto"/>
                        <w:bottom w:val="none" w:sz="0" w:space="0" w:color="auto"/>
                        <w:right w:val="none" w:sz="0" w:space="0" w:color="auto"/>
                      </w:divBdr>
                      <w:divsChild>
                        <w:div w:id="940333505">
                          <w:marLeft w:val="0"/>
                          <w:marRight w:val="0"/>
                          <w:marTop w:val="0"/>
                          <w:marBottom w:val="240"/>
                          <w:divBdr>
                            <w:top w:val="none" w:sz="0" w:space="0" w:color="auto"/>
                            <w:left w:val="none" w:sz="0" w:space="0" w:color="auto"/>
                            <w:bottom w:val="none" w:sz="0" w:space="0" w:color="auto"/>
                            <w:right w:val="none" w:sz="0" w:space="0" w:color="auto"/>
                          </w:divBdr>
                          <w:divsChild>
                            <w:div w:id="1074161656">
                              <w:marLeft w:val="0"/>
                              <w:marRight w:val="0"/>
                              <w:marTop w:val="0"/>
                              <w:marBottom w:val="0"/>
                              <w:divBdr>
                                <w:top w:val="none" w:sz="0" w:space="0" w:color="auto"/>
                                <w:left w:val="none" w:sz="0" w:space="0" w:color="auto"/>
                                <w:bottom w:val="none" w:sz="0" w:space="0" w:color="auto"/>
                                <w:right w:val="none" w:sz="0" w:space="0" w:color="auto"/>
                              </w:divBdr>
                              <w:divsChild>
                                <w:div w:id="1122655127">
                                  <w:marLeft w:val="0"/>
                                  <w:marRight w:val="0"/>
                                  <w:marTop w:val="0"/>
                                  <w:marBottom w:val="0"/>
                                  <w:divBdr>
                                    <w:top w:val="single" w:sz="18" w:space="6" w:color="E1E9EB"/>
                                    <w:left w:val="none" w:sz="0" w:space="0" w:color="auto"/>
                                    <w:bottom w:val="none" w:sz="0" w:space="0" w:color="auto"/>
                                    <w:right w:val="none" w:sz="0" w:space="0" w:color="auto"/>
                                  </w:divBdr>
                                </w:div>
                                <w:div w:id="1184831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75109">
      <w:bodyDiv w:val="1"/>
      <w:marLeft w:val="-480"/>
      <w:marRight w:val="0"/>
      <w:marTop w:val="0"/>
      <w:marBottom w:val="0"/>
      <w:divBdr>
        <w:top w:val="none" w:sz="0" w:space="0" w:color="auto"/>
        <w:left w:val="none" w:sz="0" w:space="0" w:color="auto"/>
        <w:bottom w:val="none" w:sz="0" w:space="0" w:color="auto"/>
        <w:right w:val="none" w:sz="0" w:space="0" w:color="auto"/>
      </w:divBdr>
      <w:divsChild>
        <w:div w:id="1388256646">
          <w:marLeft w:val="0"/>
          <w:marRight w:val="0"/>
          <w:marTop w:val="0"/>
          <w:marBottom w:val="0"/>
          <w:divBdr>
            <w:top w:val="none" w:sz="0" w:space="0" w:color="auto"/>
            <w:left w:val="none" w:sz="0" w:space="0" w:color="auto"/>
            <w:bottom w:val="none" w:sz="0" w:space="0" w:color="auto"/>
            <w:right w:val="none" w:sz="0" w:space="0" w:color="auto"/>
          </w:divBdr>
          <w:divsChild>
            <w:div w:id="1149588705">
              <w:marLeft w:val="0"/>
              <w:marRight w:val="0"/>
              <w:marTop w:val="0"/>
              <w:marBottom w:val="0"/>
              <w:divBdr>
                <w:top w:val="none" w:sz="0" w:space="0" w:color="auto"/>
                <w:left w:val="none" w:sz="0" w:space="0" w:color="auto"/>
                <w:bottom w:val="none" w:sz="0" w:space="0" w:color="auto"/>
                <w:right w:val="none" w:sz="0" w:space="0" w:color="auto"/>
              </w:divBdr>
              <w:divsChild>
                <w:div w:id="620040899">
                  <w:marLeft w:val="0"/>
                  <w:marRight w:val="0"/>
                  <w:marTop w:val="0"/>
                  <w:marBottom w:val="240"/>
                  <w:divBdr>
                    <w:top w:val="none" w:sz="0" w:space="0" w:color="auto"/>
                    <w:left w:val="none" w:sz="0" w:space="0" w:color="auto"/>
                    <w:bottom w:val="none" w:sz="0" w:space="0" w:color="auto"/>
                    <w:right w:val="none" w:sz="0" w:space="0" w:color="auto"/>
                  </w:divBdr>
                  <w:divsChild>
                    <w:div w:id="590554913">
                      <w:marLeft w:val="0"/>
                      <w:marRight w:val="0"/>
                      <w:marTop w:val="0"/>
                      <w:marBottom w:val="0"/>
                      <w:divBdr>
                        <w:top w:val="none" w:sz="0" w:space="0" w:color="auto"/>
                        <w:left w:val="none" w:sz="0" w:space="0" w:color="auto"/>
                        <w:bottom w:val="none" w:sz="0" w:space="0" w:color="auto"/>
                        <w:right w:val="none" w:sz="0" w:space="0" w:color="auto"/>
                      </w:divBdr>
                      <w:divsChild>
                        <w:div w:id="1471939014">
                          <w:marLeft w:val="0"/>
                          <w:marRight w:val="0"/>
                          <w:marTop w:val="0"/>
                          <w:marBottom w:val="0"/>
                          <w:divBdr>
                            <w:top w:val="none" w:sz="0" w:space="0" w:color="auto"/>
                            <w:left w:val="single" w:sz="12" w:space="12" w:color="E1E9EB"/>
                            <w:bottom w:val="single" w:sz="12" w:space="0" w:color="E1E9EB"/>
                            <w:right w:val="none" w:sz="0" w:space="0" w:color="auto"/>
                          </w:divBdr>
                          <w:divsChild>
                            <w:div w:id="10837127">
                              <w:marLeft w:val="0"/>
                              <w:marRight w:val="0"/>
                              <w:marTop w:val="0"/>
                              <w:marBottom w:val="0"/>
                              <w:divBdr>
                                <w:top w:val="none" w:sz="0" w:space="0" w:color="auto"/>
                                <w:left w:val="none" w:sz="0" w:space="0" w:color="auto"/>
                                <w:bottom w:val="none" w:sz="0" w:space="0" w:color="auto"/>
                                <w:right w:val="none" w:sz="0" w:space="0" w:color="auto"/>
                              </w:divBdr>
                              <w:divsChild>
                                <w:div w:id="923994232">
                                  <w:marLeft w:val="0"/>
                                  <w:marRight w:val="0"/>
                                  <w:marTop w:val="0"/>
                                  <w:marBottom w:val="0"/>
                                  <w:divBdr>
                                    <w:top w:val="none" w:sz="0" w:space="0" w:color="auto"/>
                                    <w:left w:val="none" w:sz="0" w:space="0" w:color="auto"/>
                                    <w:bottom w:val="none" w:sz="0" w:space="0" w:color="auto"/>
                                    <w:right w:val="none" w:sz="0" w:space="0" w:color="auto"/>
                                  </w:divBdr>
                                  <w:divsChild>
                                    <w:div w:id="1800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46945">
      <w:bodyDiv w:val="1"/>
      <w:marLeft w:val="-480"/>
      <w:marRight w:val="0"/>
      <w:marTop w:val="0"/>
      <w:marBottom w:val="0"/>
      <w:divBdr>
        <w:top w:val="none" w:sz="0" w:space="0" w:color="auto"/>
        <w:left w:val="none" w:sz="0" w:space="0" w:color="auto"/>
        <w:bottom w:val="none" w:sz="0" w:space="0" w:color="auto"/>
        <w:right w:val="none" w:sz="0" w:space="0" w:color="auto"/>
      </w:divBdr>
      <w:divsChild>
        <w:div w:id="964773241">
          <w:marLeft w:val="0"/>
          <w:marRight w:val="0"/>
          <w:marTop w:val="0"/>
          <w:marBottom w:val="0"/>
          <w:divBdr>
            <w:top w:val="none" w:sz="0" w:space="0" w:color="auto"/>
            <w:left w:val="none" w:sz="0" w:space="0" w:color="auto"/>
            <w:bottom w:val="none" w:sz="0" w:space="0" w:color="auto"/>
            <w:right w:val="none" w:sz="0" w:space="0" w:color="auto"/>
          </w:divBdr>
          <w:divsChild>
            <w:div w:id="1668288718">
              <w:marLeft w:val="0"/>
              <w:marRight w:val="0"/>
              <w:marTop w:val="0"/>
              <w:marBottom w:val="0"/>
              <w:divBdr>
                <w:top w:val="none" w:sz="0" w:space="0" w:color="auto"/>
                <w:left w:val="none" w:sz="0" w:space="0" w:color="auto"/>
                <w:bottom w:val="none" w:sz="0" w:space="0" w:color="auto"/>
                <w:right w:val="none" w:sz="0" w:space="0" w:color="auto"/>
              </w:divBdr>
              <w:divsChild>
                <w:div w:id="323095622">
                  <w:marLeft w:val="0"/>
                  <w:marRight w:val="0"/>
                  <w:marTop w:val="0"/>
                  <w:marBottom w:val="240"/>
                  <w:divBdr>
                    <w:top w:val="none" w:sz="0" w:space="0" w:color="auto"/>
                    <w:left w:val="none" w:sz="0" w:space="0" w:color="auto"/>
                    <w:bottom w:val="none" w:sz="0" w:space="0" w:color="auto"/>
                    <w:right w:val="none" w:sz="0" w:space="0" w:color="auto"/>
                  </w:divBdr>
                  <w:divsChild>
                    <w:div w:id="1169827072">
                      <w:marLeft w:val="0"/>
                      <w:marRight w:val="0"/>
                      <w:marTop w:val="0"/>
                      <w:marBottom w:val="0"/>
                      <w:divBdr>
                        <w:top w:val="none" w:sz="0" w:space="0" w:color="auto"/>
                        <w:left w:val="none" w:sz="0" w:space="0" w:color="auto"/>
                        <w:bottom w:val="none" w:sz="0" w:space="0" w:color="auto"/>
                        <w:right w:val="none" w:sz="0" w:space="0" w:color="auto"/>
                      </w:divBdr>
                      <w:divsChild>
                        <w:div w:id="40060955">
                          <w:marLeft w:val="0"/>
                          <w:marRight w:val="0"/>
                          <w:marTop w:val="0"/>
                          <w:marBottom w:val="0"/>
                          <w:divBdr>
                            <w:top w:val="none" w:sz="0" w:space="0" w:color="auto"/>
                            <w:left w:val="single" w:sz="12" w:space="12" w:color="E1E9EB"/>
                            <w:bottom w:val="single" w:sz="12" w:space="0" w:color="E1E9EB"/>
                            <w:right w:val="none" w:sz="0" w:space="0" w:color="auto"/>
                          </w:divBdr>
                          <w:divsChild>
                            <w:div w:id="168909750">
                              <w:marLeft w:val="0"/>
                              <w:marRight w:val="0"/>
                              <w:marTop w:val="0"/>
                              <w:marBottom w:val="0"/>
                              <w:divBdr>
                                <w:top w:val="none" w:sz="0" w:space="0" w:color="auto"/>
                                <w:left w:val="none" w:sz="0" w:space="0" w:color="auto"/>
                                <w:bottom w:val="none" w:sz="0" w:space="0" w:color="auto"/>
                                <w:right w:val="none" w:sz="0" w:space="0" w:color="auto"/>
                              </w:divBdr>
                              <w:divsChild>
                                <w:div w:id="954210693">
                                  <w:marLeft w:val="0"/>
                                  <w:marRight w:val="0"/>
                                  <w:marTop w:val="0"/>
                                  <w:marBottom w:val="0"/>
                                  <w:divBdr>
                                    <w:top w:val="none" w:sz="0" w:space="0" w:color="auto"/>
                                    <w:left w:val="none" w:sz="0" w:space="0" w:color="auto"/>
                                    <w:bottom w:val="none" w:sz="0" w:space="0" w:color="auto"/>
                                    <w:right w:val="none" w:sz="0" w:space="0" w:color="auto"/>
                                  </w:divBdr>
                                </w:div>
                                <w:div w:id="362638977">
                                  <w:marLeft w:val="0"/>
                                  <w:marRight w:val="0"/>
                                  <w:marTop w:val="0"/>
                                  <w:marBottom w:val="0"/>
                                  <w:divBdr>
                                    <w:top w:val="none" w:sz="0" w:space="0" w:color="auto"/>
                                    <w:left w:val="none" w:sz="0" w:space="0" w:color="auto"/>
                                    <w:bottom w:val="none" w:sz="0" w:space="0" w:color="auto"/>
                                    <w:right w:val="none" w:sz="0" w:space="0" w:color="auto"/>
                                  </w:divBdr>
                                </w:div>
                                <w:div w:id="385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052515">
      <w:bodyDiv w:val="1"/>
      <w:marLeft w:val="-480"/>
      <w:marRight w:val="0"/>
      <w:marTop w:val="0"/>
      <w:marBottom w:val="0"/>
      <w:divBdr>
        <w:top w:val="none" w:sz="0" w:space="0" w:color="auto"/>
        <w:left w:val="none" w:sz="0" w:space="0" w:color="auto"/>
        <w:bottom w:val="none" w:sz="0" w:space="0" w:color="auto"/>
        <w:right w:val="none" w:sz="0" w:space="0" w:color="auto"/>
      </w:divBdr>
      <w:divsChild>
        <w:div w:id="1948656484">
          <w:marLeft w:val="0"/>
          <w:marRight w:val="0"/>
          <w:marTop w:val="0"/>
          <w:marBottom w:val="0"/>
          <w:divBdr>
            <w:top w:val="none" w:sz="0" w:space="0" w:color="auto"/>
            <w:left w:val="none" w:sz="0" w:space="0" w:color="auto"/>
            <w:bottom w:val="none" w:sz="0" w:space="0" w:color="auto"/>
            <w:right w:val="none" w:sz="0" w:space="0" w:color="auto"/>
          </w:divBdr>
          <w:divsChild>
            <w:div w:id="1249003832">
              <w:marLeft w:val="0"/>
              <w:marRight w:val="0"/>
              <w:marTop w:val="0"/>
              <w:marBottom w:val="0"/>
              <w:divBdr>
                <w:top w:val="none" w:sz="0" w:space="0" w:color="auto"/>
                <w:left w:val="none" w:sz="0" w:space="0" w:color="auto"/>
                <w:bottom w:val="none" w:sz="0" w:space="0" w:color="auto"/>
                <w:right w:val="none" w:sz="0" w:space="0" w:color="auto"/>
              </w:divBdr>
              <w:divsChild>
                <w:div w:id="542593869">
                  <w:marLeft w:val="0"/>
                  <w:marRight w:val="0"/>
                  <w:marTop w:val="0"/>
                  <w:marBottom w:val="240"/>
                  <w:divBdr>
                    <w:top w:val="none" w:sz="0" w:space="0" w:color="auto"/>
                    <w:left w:val="none" w:sz="0" w:space="0" w:color="auto"/>
                    <w:bottom w:val="none" w:sz="0" w:space="0" w:color="auto"/>
                    <w:right w:val="none" w:sz="0" w:space="0" w:color="auto"/>
                  </w:divBdr>
                  <w:divsChild>
                    <w:div w:id="1460108214">
                      <w:marLeft w:val="0"/>
                      <w:marRight w:val="0"/>
                      <w:marTop w:val="0"/>
                      <w:marBottom w:val="0"/>
                      <w:divBdr>
                        <w:top w:val="none" w:sz="0" w:space="0" w:color="auto"/>
                        <w:left w:val="none" w:sz="0" w:space="0" w:color="auto"/>
                        <w:bottom w:val="none" w:sz="0" w:space="0" w:color="auto"/>
                        <w:right w:val="none" w:sz="0" w:space="0" w:color="auto"/>
                      </w:divBdr>
                      <w:divsChild>
                        <w:div w:id="864513771">
                          <w:marLeft w:val="0"/>
                          <w:marRight w:val="0"/>
                          <w:marTop w:val="0"/>
                          <w:marBottom w:val="0"/>
                          <w:divBdr>
                            <w:top w:val="none" w:sz="0" w:space="0" w:color="auto"/>
                            <w:left w:val="single" w:sz="12" w:space="12" w:color="E1E9EB"/>
                            <w:bottom w:val="single" w:sz="12" w:space="0" w:color="E1E9EB"/>
                            <w:right w:val="none" w:sz="0" w:space="0" w:color="auto"/>
                          </w:divBdr>
                          <w:divsChild>
                            <w:div w:id="562830860">
                              <w:marLeft w:val="0"/>
                              <w:marRight w:val="0"/>
                              <w:marTop w:val="0"/>
                              <w:marBottom w:val="0"/>
                              <w:divBdr>
                                <w:top w:val="none" w:sz="0" w:space="0" w:color="auto"/>
                                <w:left w:val="none" w:sz="0" w:space="0" w:color="auto"/>
                                <w:bottom w:val="none" w:sz="0" w:space="0" w:color="auto"/>
                                <w:right w:val="none" w:sz="0" w:space="0" w:color="auto"/>
                              </w:divBdr>
                              <w:divsChild>
                                <w:div w:id="1807122421">
                                  <w:marLeft w:val="0"/>
                                  <w:marRight w:val="0"/>
                                  <w:marTop w:val="0"/>
                                  <w:marBottom w:val="0"/>
                                  <w:divBdr>
                                    <w:top w:val="none" w:sz="0" w:space="0" w:color="auto"/>
                                    <w:left w:val="none" w:sz="0" w:space="0" w:color="auto"/>
                                    <w:bottom w:val="none" w:sz="0" w:space="0" w:color="auto"/>
                                    <w:right w:val="none" w:sz="0" w:space="0" w:color="auto"/>
                                  </w:divBdr>
                                </w:div>
                                <w:div w:id="140929143">
                                  <w:marLeft w:val="0"/>
                                  <w:marRight w:val="0"/>
                                  <w:marTop w:val="0"/>
                                  <w:marBottom w:val="0"/>
                                  <w:divBdr>
                                    <w:top w:val="none" w:sz="0" w:space="0" w:color="auto"/>
                                    <w:left w:val="none" w:sz="0" w:space="0" w:color="auto"/>
                                    <w:bottom w:val="none" w:sz="0" w:space="0" w:color="auto"/>
                                    <w:right w:val="none" w:sz="0" w:space="0" w:color="auto"/>
                                  </w:divBdr>
                                </w:div>
                                <w:div w:id="1078362082">
                                  <w:marLeft w:val="0"/>
                                  <w:marRight w:val="0"/>
                                  <w:marTop w:val="0"/>
                                  <w:marBottom w:val="0"/>
                                  <w:divBdr>
                                    <w:top w:val="none" w:sz="0" w:space="0" w:color="auto"/>
                                    <w:left w:val="none" w:sz="0" w:space="0" w:color="auto"/>
                                    <w:bottom w:val="none" w:sz="0" w:space="0" w:color="auto"/>
                                    <w:right w:val="none" w:sz="0" w:space="0" w:color="auto"/>
                                  </w:divBdr>
                                </w:div>
                                <w:div w:id="844707874">
                                  <w:marLeft w:val="0"/>
                                  <w:marRight w:val="0"/>
                                  <w:marTop w:val="0"/>
                                  <w:marBottom w:val="0"/>
                                  <w:divBdr>
                                    <w:top w:val="none" w:sz="0" w:space="0" w:color="auto"/>
                                    <w:left w:val="none" w:sz="0" w:space="0" w:color="auto"/>
                                    <w:bottom w:val="none" w:sz="0" w:space="0" w:color="auto"/>
                                    <w:right w:val="none" w:sz="0" w:space="0" w:color="auto"/>
                                  </w:divBdr>
                                </w:div>
                                <w:div w:id="2485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865088">
      <w:bodyDiv w:val="1"/>
      <w:marLeft w:val="-480"/>
      <w:marRight w:val="0"/>
      <w:marTop w:val="0"/>
      <w:marBottom w:val="0"/>
      <w:divBdr>
        <w:top w:val="none" w:sz="0" w:space="0" w:color="auto"/>
        <w:left w:val="none" w:sz="0" w:space="0" w:color="auto"/>
        <w:bottom w:val="none" w:sz="0" w:space="0" w:color="auto"/>
        <w:right w:val="none" w:sz="0" w:space="0" w:color="auto"/>
      </w:divBdr>
      <w:divsChild>
        <w:div w:id="573778439">
          <w:marLeft w:val="0"/>
          <w:marRight w:val="0"/>
          <w:marTop w:val="0"/>
          <w:marBottom w:val="0"/>
          <w:divBdr>
            <w:top w:val="none" w:sz="0" w:space="0" w:color="auto"/>
            <w:left w:val="none" w:sz="0" w:space="0" w:color="auto"/>
            <w:bottom w:val="none" w:sz="0" w:space="0" w:color="auto"/>
            <w:right w:val="none" w:sz="0" w:space="0" w:color="auto"/>
          </w:divBdr>
          <w:divsChild>
            <w:div w:id="397099917">
              <w:marLeft w:val="0"/>
              <w:marRight w:val="0"/>
              <w:marTop w:val="0"/>
              <w:marBottom w:val="0"/>
              <w:divBdr>
                <w:top w:val="none" w:sz="0" w:space="0" w:color="auto"/>
                <w:left w:val="none" w:sz="0" w:space="0" w:color="auto"/>
                <w:bottom w:val="none" w:sz="0" w:space="0" w:color="auto"/>
                <w:right w:val="none" w:sz="0" w:space="0" w:color="auto"/>
              </w:divBdr>
              <w:divsChild>
                <w:div w:id="1824002650">
                  <w:marLeft w:val="0"/>
                  <w:marRight w:val="0"/>
                  <w:marTop w:val="0"/>
                  <w:marBottom w:val="240"/>
                  <w:divBdr>
                    <w:top w:val="none" w:sz="0" w:space="0" w:color="auto"/>
                    <w:left w:val="none" w:sz="0" w:space="0" w:color="auto"/>
                    <w:bottom w:val="none" w:sz="0" w:space="0" w:color="auto"/>
                    <w:right w:val="none" w:sz="0" w:space="0" w:color="auto"/>
                  </w:divBdr>
                  <w:divsChild>
                    <w:div w:id="1358039384">
                      <w:marLeft w:val="0"/>
                      <w:marRight w:val="0"/>
                      <w:marTop w:val="0"/>
                      <w:marBottom w:val="0"/>
                      <w:divBdr>
                        <w:top w:val="none" w:sz="0" w:space="0" w:color="auto"/>
                        <w:left w:val="none" w:sz="0" w:space="0" w:color="auto"/>
                        <w:bottom w:val="none" w:sz="0" w:space="0" w:color="auto"/>
                        <w:right w:val="none" w:sz="0" w:space="0" w:color="auto"/>
                      </w:divBdr>
                      <w:divsChild>
                        <w:div w:id="309873641">
                          <w:marLeft w:val="0"/>
                          <w:marRight w:val="0"/>
                          <w:marTop w:val="0"/>
                          <w:marBottom w:val="0"/>
                          <w:divBdr>
                            <w:top w:val="none" w:sz="0" w:space="0" w:color="auto"/>
                            <w:left w:val="single" w:sz="12" w:space="12" w:color="E1E9EB"/>
                            <w:bottom w:val="single" w:sz="12" w:space="0" w:color="E1E9EB"/>
                            <w:right w:val="none" w:sz="0" w:space="0" w:color="auto"/>
                          </w:divBdr>
                          <w:divsChild>
                            <w:div w:id="1349680464">
                              <w:marLeft w:val="0"/>
                              <w:marRight w:val="0"/>
                              <w:marTop w:val="0"/>
                              <w:marBottom w:val="0"/>
                              <w:divBdr>
                                <w:top w:val="none" w:sz="0" w:space="0" w:color="auto"/>
                                <w:left w:val="none" w:sz="0" w:space="0" w:color="auto"/>
                                <w:bottom w:val="none" w:sz="0" w:space="0" w:color="auto"/>
                                <w:right w:val="none" w:sz="0" w:space="0" w:color="auto"/>
                              </w:divBdr>
                              <w:divsChild>
                                <w:div w:id="2003460452">
                                  <w:marLeft w:val="0"/>
                                  <w:marRight w:val="0"/>
                                  <w:marTop w:val="0"/>
                                  <w:marBottom w:val="0"/>
                                  <w:divBdr>
                                    <w:top w:val="none" w:sz="0" w:space="0" w:color="auto"/>
                                    <w:left w:val="none" w:sz="0" w:space="0" w:color="auto"/>
                                    <w:bottom w:val="none" w:sz="0" w:space="0" w:color="auto"/>
                                    <w:right w:val="none" w:sz="0" w:space="0" w:color="auto"/>
                                  </w:divBdr>
                                  <w:divsChild>
                                    <w:div w:id="1131290935">
                                      <w:marLeft w:val="0"/>
                                      <w:marRight w:val="0"/>
                                      <w:marTop w:val="0"/>
                                      <w:marBottom w:val="0"/>
                                      <w:divBdr>
                                        <w:top w:val="none" w:sz="0" w:space="0" w:color="auto"/>
                                        <w:left w:val="none" w:sz="0" w:space="0" w:color="auto"/>
                                        <w:bottom w:val="none" w:sz="0" w:space="0" w:color="auto"/>
                                        <w:right w:val="none" w:sz="0" w:space="0" w:color="auto"/>
                                      </w:divBdr>
                                    </w:div>
                                    <w:div w:id="1190022706">
                                      <w:marLeft w:val="0"/>
                                      <w:marRight w:val="0"/>
                                      <w:marTop w:val="0"/>
                                      <w:marBottom w:val="0"/>
                                      <w:divBdr>
                                        <w:top w:val="none" w:sz="0" w:space="0" w:color="auto"/>
                                        <w:left w:val="none" w:sz="0" w:space="0" w:color="auto"/>
                                        <w:bottom w:val="none" w:sz="0" w:space="0" w:color="auto"/>
                                        <w:right w:val="none" w:sz="0" w:space="0" w:color="auto"/>
                                      </w:divBdr>
                                    </w:div>
                                    <w:div w:id="30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677605">
      <w:bodyDiv w:val="1"/>
      <w:marLeft w:val="-480"/>
      <w:marRight w:val="0"/>
      <w:marTop w:val="0"/>
      <w:marBottom w:val="0"/>
      <w:divBdr>
        <w:top w:val="none" w:sz="0" w:space="0" w:color="auto"/>
        <w:left w:val="none" w:sz="0" w:space="0" w:color="auto"/>
        <w:bottom w:val="none" w:sz="0" w:space="0" w:color="auto"/>
        <w:right w:val="none" w:sz="0" w:space="0" w:color="auto"/>
      </w:divBdr>
      <w:divsChild>
        <w:div w:id="195509972">
          <w:marLeft w:val="0"/>
          <w:marRight w:val="0"/>
          <w:marTop w:val="0"/>
          <w:marBottom w:val="0"/>
          <w:divBdr>
            <w:top w:val="none" w:sz="0" w:space="0" w:color="auto"/>
            <w:left w:val="none" w:sz="0" w:space="0" w:color="auto"/>
            <w:bottom w:val="none" w:sz="0" w:space="0" w:color="auto"/>
            <w:right w:val="none" w:sz="0" w:space="0" w:color="auto"/>
          </w:divBdr>
          <w:divsChild>
            <w:div w:id="1347367533">
              <w:marLeft w:val="0"/>
              <w:marRight w:val="0"/>
              <w:marTop w:val="0"/>
              <w:marBottom w:val="0"/>
              <w:divBdr>
                <w:top w:val="none" w:sz="0" w:space="0" w:color="auto"/>
                <w:left w:val="none" w:sz="0" w:space="0" w:color="auto"/>
                <w:bottom w:val="none" w:sz="0" w:space="0" w:color="auto"/>
                <w:right w:val="none" w:sz="0" w:space="0" w:color="auto"/>
              </w:divBdr>
              <w:divsChild>
                <w:div w:id="64842288">
                  <w:marLeft w:val="0"/>
                  <w:marRight w:val="0"/>
                  <w:marTop w:val="0"/>
                  <w:marBottom w:val="240"/>
                  <w:divBdr>
                    <w:top w:val="none" w:sz="0" w:space="0" w:color="auto"/>
                    <w:left w:val="none" w:sz="0" w:space="0" w:color="auto"/>
                    <w:bottom w:val="none" w:sz="0" w:space="0" w:color="auto"/>
                    <w:right w:val="none" w:sz="0" w:space="0" w:color="auto"/>
                  </w:divBdr>
                  <w:divsChild>
                    <w:div w:id="1057359906">
                      <w:marLeft w:val="0"/>
                      <w:marRight w:val="0"/>
                      <w:marTop w:val="0"/>
                      <w:marBottom w:val="0"/>
                      <w:divBdr>
                        <w:top w:val="none" w:sz="0" w:space="0" w:color="auto"/>
                        <w:left w:val="none" w:sz="0" w:space="0" w:color="auto"/>
                        <w:bottom w:val="none" w:sz="0" w:space="0" w:color="auto"/>
                        <w:right w:val="none" w:sz="0" w:space="0" w:color="auto"/>
                      </w:divBdr>
                      <w:divsChild>
                        <w:div w:id="1996378479">
                          <w:marLeft w:val="0"/>
                          <w:marRight w:val="0"/>
                          <w:marTop w:val="0"/>
                          <w:marBottom w:val="0"/>
                          <w:divBdr>
                            <w:top w:val="none" w:sz="0" w:space="0" w:color="auto"/>
                            <w:left w:val="single" w:sz="12" w:space="12" w:color="E1E9EB"/>
                            <w:bottom w:val="single" w:sz="12" w:space="0" w:color="E1E9EB"/>
                            <w:right w:val="none" w:sz="0" w:space="0" w:color="auto"/>
                          </w:divBdr>
                          <w:divsChild>
                            <w:div w:id="940794416">
                              <w:marLeft w:val="0"/>
                              <w:marRight w:val="0"/>
                              <w:marTop w:val="0"/>
                              <w:marBottom w:val="0"/>
                              <w:divBdr>
                                <w:top w:val="none" w:sz="0" w:space="0" w:color="auto"/>
                                <w:left w:val="none" w:sz="0" w:space="0" w:color="auto"/>
                                <w:bottom w:val="none" w:sz="0" w:space="0" w:color="auto"/>
                                <w:right w:val="none" w:sz="0" w:space="0" w:color="auto"/>
                              </w:divBdr>
                              <w:divsChild>
                                <w:div w:id="1109465882">
                                  <w:marLeft w:val="0"/>
                                  <w:marRight w:val="0"/>
                                  <w:marTop w:val="0"/>
                                  <w:marBottom w:val="0"/>
                                  <w:divBdr>
                                    <w:top w:val="none" w:sz="0" w:space="0" w:color="auto"/>
                                    <w:left w:val="none" w:sz="0" w:space="0" w:color="auto"/>
                                    <w:bottom w:val="none" w:sz="0" w:space="0" w:color="auto"/>
                                    <w:right w:val="none" w:sz="0" w:space="0" w:color="auto"/>
                                  </w:divBdr>
                                  <w:divsChild>
                                    <w:div w:id="8210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191800">
      <w:bodyDiv w:val="1"/>
      <w:marLeft w:val="-480"/>
      <w:marRight w:val="0"/>
      <w:marTop w:val="0"/>
      <w:marBottom w:val="0"/>
      <w:divBdr>
        <w:top w:val="none" w:sz="0" w:space="0" w:color="auto"/>
        <w:left w:val="none" w:sz="0" w:space="0" w:color="auto"/>
        <w:bottom w:val="none" w:sz="0" w:space="0" w:color="auto"/>
        <w:right w:val="none" w:sz="0" w:space="0" w:color="auto"/>
      </w:divBdr>
      <w:divsChild>
        <w:div w:id="241137621">
          <w:marLeft w:val="0"/>
          <w:marRight w:val="0"/>
          <w:marTop w:val="0"/>
          <w:marBottom w:val="0"/>
          <w:divBdr>
            <w:top w:val="none" w:sz="0" w:space="0" w:color="auto"/>
            <w:left w:val="none" w:sz="0" w:space="0" w:color="auto"/>
            <w:bottom w:val="none" w:sz="0" w:space="0" w:color="auto"/>
            <w:right w:val="none" w:sz="0" w:space="0" w:color="auto"/>
          </w:divBdr>
          <w:divsChild>
            <w:div w:id="1267809298">
              <w:marLeft w:val="0"/>
              <w:marRight w:val="0"/>
              <w:marTop w:val="0"/>
              <w:marBottom w:val="0"/>
              <w:divBdr>
                <w:top w:val="none" w:sz="0" w:space="0" w:color="auto"/>
                <w:left w:val="none" w:sz="0" w:space="0" w:color="auto"/>
                <w:bottom w:val="none" w:sz="0" w:space="0" w:color="auto"/>
                <w:right w:val="none" w:sz="0" w:space="0" w:color="auto"/>
              </w:divBdr>
              <w:divsChild>
                <w:div w:id="200945516">
                  <w:marLeft w:val="0"/>
                  <w:marRight w:val="0"/>
                  <w:marTop w:val="0"/>
                  <w:marBottom w:val="240"/>
                  <w:divBdr>
                    <w:top w:val="none" w:sz="0" w:space="0" w:color="auto"/>
                    <w:left w:val="none" w:sz="0" w:space="0" w:color="auto"/>
                    <w:bottom w:val="none" w:sz="0" w:space="0" w:color="auto"/>
                    <w:right w:val="none" w:sz="0" w:space="0" w:color="auto"/>
                  </w:divBdr>
                  <w:divsChild>
                    <w:div w:id="198706603">
                      <w:marLeft w:val="0"/>
                      <w:marRight w:val="0"/>
                      <w:marTop w:val="0"/>
                      <w:marBottom w:val="0"/>
                      <w:divBdr>
                        <w:top w:val="none" w:sz="0" w:space="0" w:color="auto"/>
                        <w:left w:val="none" w:sz="0" w:space="0" w:color="auto"/>
                        <w:bottom w:val="none" w:sz="0" w:space="0" w:color="auto"/>
                        <w:right w:val="none" w:sz="0" w:space="0" w:color="auto"/>
                      </w:divBdr>
                      <w:divsChild>
                        <w:div w:id="1730153520">
                          <w:marLeft w:val="0"/>
                          <w:marRight w:val="0"/>
                          <w:marTop w:val="0"/>
                          <w:marBottom w:val="0"/>
                          <w:divBdr>
                            <w:top w:val="none" w:sz="0" w:space="0" w:color="auto"/>
                            <w:left w:val="single" w:sz="18" w:space="12" w:color="E1E9EB"/>
                            <w:bottom w:val="single" w:sz="18" w:space="0" w:color="E1E9EB"/>
                            <w:right w:val="none" w:sz="0" w:space="0" w:color="auto"/>
                          </w:divBdr>
                          <w:divsChild>
                            <w:div w:id="1192376800">
                              <w:marLeft w:val="0"/>
                              <w:marRight w:val="0"/>
                              <w:marTop w:val="0"/>
                              <w:marBottom w:val="0"/>
                              <w:divBdr>
                                <w:top w:val="none" w:sz="0" w:space="0" w:color="auto"/>
                                <w:left w:val="none" w:sz="0" w:space="0" w:color="auto"/>
                                <w:bottom w:val="none" w:sz="0" w:space="0" w:color="auto"/>
                                <w:right w:val="none" w:sz="0" w:space="0" w:color="auto"/>
                              </w:divBdr>
                              <w:divsChild>
                                <w:div w:id="8737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395713">
      <w:bodyDiv w:val="1"/>
      <w:marLeft w:val="-480"/>
      <w:marRight w:val="0"/>
      <w:marTop w:val="0"/>
      <w:marBottom w:val="0"/>
      <w:divBdr>
        <w:top w:val="none" w:sz="0" w:space="0" w:color="auto"/>
        <w:left w:val="none" w:sz="0" w:space="0" w:color="auto"/>
        <w:bottom w:val="none" w:sz="0" w:space="0" w:color="auto"/>
        <w:right w:val="none" w:sz="0" w:space="0" w:color="auto"/>
      </w:divBdr>
      <w:divsChild>
        <w:div w:id="1089084547">
          <w:marLeft w:val="0"/>
          <w:marRight w:val="0"/>
          <w:marTop w:val="0"/>
          <w:marBottom w:val="0"/>
          <w:divBdr>
            <w:top w:val="none" w:sz="0" w:space="0" w:color="auto"/>
            <w:left w:val="none" w:sz="0" w:space="0" w:color="auto"/>
            <w:bottom w:val="none" w:sz="0" w:space="0" w:color="auto"/>
            <w:right w:val="none" w:sz="0" w:space="0" w:color="auto"/>
          </w:divBdr>
          <w:divsChild>
            <w:div w:id="353960431">
              <w:marLeft w:val="0"/>
              <w:marRight w:val="0"/>
              <w:marTop w:val="0"/>
              <w:marBottom w:val="0"/>
              <w:divBdr>
                <w:top w:val="none" w:sz="0" w:space="0" w:color="auto"/>
                <w:left w:val="none" w:sz="0" w:space="0" w:color="auto"/>
                <w:bottom w:val="none" w:sz="0" w:space="0" w:color="auto"/>
                <w:right w:val="none" w:sz="0" w:space="0" w:color="auto"/>
              </w:divBdr>
              <w:divsChild>
                <w:div w:id="1623607168">
                  <w:marLeft w:val="0"/>
                  <w:marRight w:val="0"/>
                  <w:marTop w:val="0"/>
                  <w:marBottom w:val="240"/>
                  <w:divBdr>
                    <w:top w:val="none" w:sz="0" w:space="0" w:color="auto"/>
                    <w:left w:val="none" w:sz="0" w:space="0" w:color="auto"/>
                    <w:bottom w:val="none" w:sz="0" w:space="0" w:color="auto"/>
                    <w:right w:val="none" w:sz="0" w:space="0" w:color="auto"/>
                  </w:divBdr>
                  <w:divsChild>
                    <w:div w:id="1114591393">
                      <w:marLeft w:val="0"/>
                      <w:marRight w:val="0"/>
                      <w:marTop w:val="0"/>
                      <w:marBottom w:val="0"/>
                      <w:divBdr>
                        <w:top w:val="none" w:sz="0" w:space="0" w:color="auto"/>
                        <w:left w:val="none" w:sz="0" w:space="0" w:color="auto"/>
                        <w:bottom w:val="none" w:sz="0" w:space="0" w:color="auto"/>
                        <w:right w:val="none" w:sz="0" w:space="0" w:color="auto"/>
                      </w:divBdr>
                      <w:divsChild>
                        <w:div w:id="816843845">
                          <w:marLeft w:val="0"/>
                          <w:marRight w:val="0"/>
                          <w:marTop w:val="0"/>
                          <w:marBottom w:val="0"/>
                          <w:divBdr>
                            <w:top w:val="none" w:sz="0" w:space="0" w:color="auto"/>
                            <w:left w:val="single" w:sz="12" w:space="12" w:color="E1E9EB"/>
                            <w:bottom w:val="single" w:sz="12" w:space="0" w:color="E1E9EB"/>
                            <w:right w:val="none" w:sz="0" w:space="0" w:color="auto"/>
                          </w:divBdr>
                          <w:divsChild>
                            <w:div w:id="1157377665">
                              <w:marLeft w:val="0"/>
                              <w:marRight w:val="0"/>
                              <w:marTop w:val="0"/>
                              <w:marBottom w:val="0"/>
                              <w:divBdr>
                                <w:top w:val="none" w:sz="0" w:space="0" w:color="auto"/>
                                <w:left w:val="none" w:sz="0" w:space="0" w:color="auto"/>
                                <w:bottom w:val="none" w:sz="0" w:space="0" w:color="auto"/>
                                <w:right w:val="none" w:sz="0" w:space="0" w:color="auto"/>
                              </w:divBdr>
                              <w:divsChild>
                                <w:div w:id="409884720">
                                  <w:marLeft w:val="0"/>
                                  <w:marRight w:val="0"/>
                                  <w:marTop w:val="0"/>
                                  <w:marBottom w:val="0"/>
                                  <w:divBdr>
                                    <w:top w:val="none" w:sz="0" w:space="0" w:color="auto"/>
                                    <w:left w:val="none" w:sz="0" w:space="0" w:color="auto"/>
                                    <w:bottom w:val="none" w:sz="0" w:space="0" w:color="auto"/>
                                    <w:right w:val="none" w:sz="0" w:space="0" w:color="auto"/>
                                  </w:divBdr>
                                  <w:divsChild>
                                    <w:div w:id="812872542">
                                      <w:marLeft w:val="0"/>
                                      <w:marRight w:val="0"/>
                                      <w:marTop w:val="0"/>
                                      <w:marBottom w:val="0"/>
                                      <w:divBdr>
                                        <w:top w:val="none" w:sz="0" w:space="0" w:color="auto"/>
                                        <w:left w:val="none" w:sz="0" w:space="0" w:color="auto"/>
                                        <w:bottom w:val="none" w:sz="0" w:space="0" w:color="auto"/>
                                        <w:right w:val="none" w:sz="0" w:space="0" w:color="auto"/>
                                      </w:divBdr>
                                      <w:divsChild>
                                        <w:div w:id="1148790751">
                                          <w:marLeft w:val="0"/>
                                          <w:marRight w:val="0"/>
                                          <w:marTop w:val="0"/>
                                          <w:marBottom w:val="0"/>
                                          <w:divBdr>
                                            <w:top w:val="none" w:sz="0" w:space="0" w:color="auto"/>
                                            <w:left w:val="none" w:sz="0" w:space="0" w:color="auto"/>
                                            <w:bottom w:val="none" w:sz="0" w:space="0" w:color="auto"/>
                                            <w:right w:val="none" w:sz="0" w:space="0" w:color="auto"/>
                                          </w:divBdr>
                                          <w:divsChild>
                                            <w:div w:id="12232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083-6101.2007.00396.x/full" TargetMode="External"/><Relationship Id="rId13" Type="http://schemas.openxmlformats.org/officeDocument/2006/relationships/hyperlink" Target="http://onlinelibrary.wiley.com/doi/10.1111/j.1083-6101.2007.00396.x/full" TargetMode="External"/><Relationship Id="rId18" Type="http://schemas.openxmlformats.org/officeDocument/2006/relationships/hyperlink" Target="http://onlinelibrary.wiley.com/doi/10.1111/j.1083-6101.2007.00396.x/full" TargetMode="External"/><Relationship Id="rId26" Type="http://schemas.openxmlformats.org/officeDocument/2006/relationships/hyperlink" Target="http://onlinelibrary.wiley.com/doi/10.1111/j.1083-6101.2007.00396.x/full" TargetMode="External"/><Relationship Id="rId39" Type="http://schemas.openxmlformats.org/officeDocument/2006/relationships/hyperlink" Target="http://onlinelibrary.wiley.com/doi/10.1111/j.1083-6101.2007.00396.x/full" TargetMode="External"/><Relationship Id="rId3" Type="http://schemas.openxmlformats.org/officeDocument/2006/relationships/settings" Target="settings.xml"/><Relationship Id="rId21" Type="http://schemas.openxmlformats.org/officeDocument/2006/relationships/hyperlink" Target="http://onlinelibrary.wiley.com/doi/10.1111/j.1083-6101.2007.00396.x/full" TargetMode="External"/><Relationship Id="rId34" Type="http://schemas.openxmlformats.org/officeDocument/2006/relationships/hyperlink" Target="http://onlinelibrary.wiley.com/doi/10.1111/j.1083-6101.2007.00396.x/full" TargetMode="External"/><Relationship Id="rId42" Type="http://schemas.openxmlformats.org/officeDocument/2006/relationships/hyperlink" Target="http://onlinelibrary.wiley.com/doi/10.1111/j.1083-6101.2007.00396.x/full" TargetMode="External"/><Relationship Id="rId7" Type="http://schemas.openxmlformats.org/officeDocument/2006/relationships/hyperlink" Target="http://onlinelibrary.wiley.com/doi/10.1111/j.1083-6101.2007.00396.x/full" TargetMode="External"/><Relationship Id="rId12" Type="http://schemas.openxmlformats.org/officeDocument/2006/relationships/hyperlink" Target="http://onlinelibrary.wiley.com/doi/10.1111/j.1083-6101.2007.00396.x/full" TargetMode="External"/><Relationship Id="rId17" Type="http://schemas.openxmlformats.org/officeDocument/2006/relationships/hyperlink" Target="http://onlinelibrary.wiley.com/doi/10.1111/j.1083-6101.2007.00396.x/full" TargetMode="External"/><Relationship Id="rId25" Type="http://schemas.openxmlformats.org/officeDocument/2006/relationships/hyperlink" Target="http://onlinelibrary.wiley.com/doi/10.1111/j.1083-6101.2007.00396.x/full" TargetMode="External"/><Relationship Id="rId33" Type="http://schemas.openxmlformats.org/officeDocument/2006/relationships/hyperlink" Target="http://onlinelibrary.wiley.com/doi/10.1111/j.1083-6101.2007.00396.x/full" TargetMode="External"/><Relationship Id="rId38" Type="http://schemas.openxmlformats.org/officeDocument/2006/relationships/hyperlink" Target="http://onlinelibrary.wiley.com/doi/10.1111/j.1083-6101.2007.00396.x/full" TargetMode="External"/><Relationship Id="rId2" Type="http://schemas.openxmlformats.org/officeDocument/2006/relationships/styles" Target="styles.xml"/><Relationship Id="rId16" Type="http://schemas.openxmlformats.org/officeDocument/2006/relationships/hyperlink" Target="http://onlinelibrary.wiley.com/doi/10.1111/j.1083-6101.2007.00396.x/full" TargetMode="External"/><Relationship Id="rId20" Type="http://schemas.openxmlformats.org/officeDocument/2006/relationships/hyperlink" Target="http://onlinelibrary.wiley.com/doi/10.1111/j.1083-6101.2007.00396.x/full" TargetMode="External"/><Relationship Id="rId29" Type="http://schemas.openxmlformats.org/officeDocument/2006/relationships/hyperlink" Target="http://onlinelibrary.wiley.com/doi/10.1111/j.1083-6101.2007.00396.x/full" TargetMode="External"/><Relationship Id="rId41" Type="http://schemas.openxmlformats.org/officeDocument/2006/relationships/hyperlink" Target="http://onlinelibrary.wiley.com/doi/10.1111/j.1083-6101.2007.00396.x/full" TargetMode="External"/><Relationship Id="rId1" Type="http://schemas.openxmlformats.org/officeDocument/2006/relationships/numbering" Target="numbering.xml"/><Relationship Id="rId6" Type="http://schemas.openxmlformats.org/officeDocument/2006/relationships/hyperlink" Target="http://onlinelibrary.wiley.com/doi/10.1111/j.1083-6101.2007.00396.x/full" TargetMode="External"/><Relationship Id="rId11" Type="http://schemas.openxmlformats.org/officeDocument/2006/relationships/hyperlink" Target="http://onlinelibrary.wiley.com/doi/10.1111/j.1083-6101.2007.00396.x/full" TargetMode="External"/><Relationship Id="rId24" Type="http://schemas.openxmlformats.org/officeDocument/2006/relationships/hyperlink" Target="http://onlinelibrary.wiley.com/doi/10.1111/j.1083-6101.2007.00396.x/full" TargetMode="External"/><Relationship Id="rId32" Type="http://schemas.openxmlformats.org/officeDocument/2006/relationships/hyperlink" Target="http://onlinelibrary.wiley.com/doi/10.1111/j.1083-6101.2007.00396.x/full" TargetMode="External"/><Relationship Id="rId37" Type="http://schemas.openxmlformats.org/officeDocument/2006/relationships/hyperlink" Target="http://onlinelibrary.wiley.com/doi/10.1111/j.1083-6101.2007.00396.x/full" TargetMode="External"/><Relationship Id="rId40" Type="http://schemas.openxmlformats.org/officeDocument/2006/relationships/hyperlink" Target="http://onlinelibrary.wiley.com/doi/10.1111/j.1083-6101.2007.00396.x/full" TargetMode="External"/><Relationship Id="rId45" Type="http://schemas.openxmlformats.org/officeDocument/2006/relationships/theme" Target="theme/theme1.xml"/><Relationship Id="rId5" Type="http://schemas.openxmlformats.org/officeDocument/2006/relationships/hyperlink" Target="http://onlinelibrary.wiley.com/doi/10.1111/j.1083-6101.2007.00396.x/full" TargetMode="External"/><Relationship Id="rId15" Type="http://schemas.openxmlformats.org/officeDocument/2006/relationships/hyperlink" Target="http://onlinelibrary.wiley.com/doi/10.1111/j.1083-6101.2007.00396.x/full" TargetMode="External"/><Relationship Id="rId23" Type="http://schemas.openxmlformats.org/officeDocument/2006/relationships/hyperlink" Target="http://onlinelibrary.wiley.com/doi/10.1111/j.1083-6101.2007.00396.x/full" TargetMode="External"/><Relationship Id="rId28" Type="http://schemas.openxmlformats.org/officeDocument/2006/relationships/hyperlink" Target="http://onlinelibrary.wiley.com/doi/10.1111/j.1083-6101.2007.00396.x/full" TargetMode="External"/><Relationship Id="rId36" Type="http://schemas.openxmlformats.org/officeDocument/2006/relationships/hyperlink" Target="http://onlinelibrary.wiley.com/doi/10.1111/j.1083-6101.2007.00396.x/full" TargetMode="External"/><Relationship Id="rId10" Type="http://schemas.openxmlformats.org/officeDocument/2006/relationships/hyperlink" Target="http://onlinelibrary.wiley.com/doi/10.1111/j.1083-6101.2007.00396.x/full" TargetMode="External"/><Relationship Id="rId19" Type="http://schemas.openxmlformats.org/officeDocument/2006/relationships/hyperlink" Target="http://onlinelibrary.wiley.com/doi/10.1111/j.1083-6101.2007.00396.x/full" TargetMode="External"/><Relationship Id="rId31" Type="http://schemas.openxmlformats.org/officeDocument/2006/relationships/hyperlink" Target="http://onlinelibrary.wiley.com/doi/10.1111/j.1083-6101.2007.00396.x/ful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library.wiley.com/doi/10.1111/j.1083-6101.2007.00396.x/full" TargetMode="External"/><Relationship Id="rId14" Type="http://schemas.openxmlformats.org/officeDocument/2006/relationships/hyperlink" Target="http://onlinelibrary.wiley.com/doi/10.1111/j.1083-6101.2007.00396.x/full" TargetMode="External"/><Relationship Id="rId22" Type="http://schemas.openxmlformats.org/officeDocument/2006/relationships/hyperlink" Target="http://onlinelibrary.wiley.com/doi/10.1111/j.1083-6101.2007.00396.x/full" TargetMode="External"/><Relationship Id="rId27" Type="http://schemas.openxmlformats.org/officeDocument/2006/relationships/hyperlink" Target="http://onlinelibrary.wiley.com/doi/10.1111/j.1083-6101.2007.00396.x/full" TargetMode="External"/><Relationship Id="rId30" Type="http://schemas.openxmlformats.org/officeDocument/2006/relationships/hyperlink" Target="http://onlinelibrary.wiley.com/doi/10.1111/j.1083-6101.2007.00396.x/full" TargetMode="External"/><Relationship Id="rId35" Type="http://schemas.openxmlformats.org/officeDocument/2006/relationships/hyperlink" Target="http://onlinelibrary.wiley.com/doi/10.1111/j.1083-6101.2007.00396.x/full" TargetMode="External"/><Relationship Id="rId43" Type="http://schemas.openxmlformats.org/officeDocument/2006/relationships/hyperlink" Target="http://onlinelibrary.wiley.com/doi/10.1111/j.1083-6101.2007.00396.x/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5547</Words>
  <Characters>31622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Marengo High School</Company>
  <LinksUpToDate>false</LinksUpToDate>
  <CharactersWithSpaces>37095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dc:creator>
  <cp:keywords/>
  <dc:description/>
  <cp:lastModifiedBy>meyer</cp:lastModifiedBy>
  <cp:revision>1</cp:revision>
  <dcterms:created xsi:type="dcterms:W3CDTF">2010-10-13T23:29:00Z</dcterms:created>
  <dcterms:modified xsi:type="dcterms:W3CDTF">2010-10-14T00:03:00Z</dcterms:modified>
</cp:coreProperties>
</file>